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686/2011 vom 28. November 2011</w:t>
      </w:r>
    </w:p>
    <w:p>
      <w:r>
        <w:t>Bundesgericht, 2011-11-28, DE</w:t>
      </w:r>
    </w:p>
    <w:p>
      <w:r>
        <w:rPr>
          <w:b/>
        </w:rPr>
        <w:t xml:space="preserve">Quelle: </w:t>
      </w:r>
      <w:r>
        <w:t>https://mcp.opencaselaw.ch/entscheid/bger_5A_686_2011</w:t>
      </w:r>
    </w:p>
    <w:p>
      <w:r>
        <w:t>FR: TF 5A 686/2011 du 28 novembre 2011</w:t>
      </w:r>
    </w:p>
    <w:p>
      <w:r>
        <w:t>IT: TF 5A 686/2011 del 28 novembre 2011</w:t>
      </w:r>
    </w:p>
    <w:p>
      <w:pPr>
        <w:pStyle w:val="Heading2"/>
      </w:pPr>
      <w:r>
        <w:t>Regeste</w:t>
      </w:r>
    </w:p>
    <w:p>
      <w:r>
        <w:t>Genehmigung des Sicherungsinventars | Erbrecht</w:t>
      </w:r>
    </w:p>
    <w:p>
      <w:pPr>
        <w:pStyle w:val="Heading2"/>
      </w:pPr>
      <w:r>
        <w:t>Erwägungen</w:t>
      </w:r>
    </w:p>
    <w:p>
      <w:r>
        <w:rPr>
          <w:b/>
        </w:rPr>
        <w:t>E. 1</w:t>
      </w:r>
    </w:p>
    <w:p>
      <w:r>
        <w:t>Angefochten ist ein kantonal letztinstanzlicher Endentscheid in einer vermögensrechtlichen Zivilsache ( Art. 72 Abs. 1, Art. 75 BGG ). Der Streitwert kann offen bleiben, da selbst bei Erreichen der Streitwertgrenze (vgl. Art. 74 Abs. 1 lit. b BGG ) vorliegend nur die Verletzung verfassungsmässiger Rechte gerügt werden kann (s. nachfolgend E. 2 und 3).</w:t>
      </w:r>
    </w:p>
    <w:p>
      <w:r>
        <w:rPr>
          <w:b/>
        </w:rPr>
        <w:t>E. 2</w:t>
      </w:r>
    </w:p>
    <w:p>
      <w:r>
        <w:t>Das gemäss Art. 553 ZGB erstellte Inventar hat lediglich Sicherungs- bzw. Beweisfunktion und ist inhaltlich jederzeit abänderbar. Vor diesem Hintergrund ist eine Inventaraufnahme nach Art. 553 ZGB als vorsorgliche Massnahme im Sinne von Art. 98 BGG zu qualifizieren. Dies gilt sowohl für einen anordnenden wie auch für einen (im Anschluss an den Vollzug) genehmigenden Entscheid, wie er vorliegend angefochten ist (vgl. Urteil 5A_169/2007 vom 21. Juni 2007 E. 2.4 betreffend Inventaraufnahme gemäss Art. 318 Abs. 2 ZGB ).</w:t>
      </w:r>
    </w:p>
    <w:p>
      <w:r>
        <w:rPr>
          <w:b/>
        </w:rPr>
        <w:t>E. 3</w:t>
      </w:r>
    </w:p>
    <w:p>
      <w:r>
        <w:t>Im Rahmen von Art. 98 BGG kann nur die Verletzung verfassungsmässiger Rechte gerügt werden. Zur Anwendung gelangt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Die gerügten verfassungsmässigen Rechte sind namentlich zu benennen, ebenso die Gesetzesnormen, deren willkürliche Anwendung beanstandet wird. Wird die Verletzung des Willkürverbots gerügt, reicht es zudem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4</w:t>
      </w:r>
    </w:p>
    <w:p>
      <w:r>
        <w:t>In seiner Beschwerdeschrift erhebt der Beschwerdeführer auch sinngemäss keinerlei Verfassungsrüge, wie ihm dies nach Massgabe von Art. 106 Abs. 2 BGG oblegen hätte. Auf die Beschwerde ist nicht einzutreten.</w:t>
      </w:r>
    </w:p>
    <w:p>
      <w:r>
        <w:rPr>
          <w:b/>
        </w:rPr>
        <w:t>E. 5</w:t>
      </w:r>
    </w:p>
    <w:p>
      <w:r>
        <w:t>Bei diesem Verfahrensausgang wird der Beschwerdeführer kostenpflichtig ( Art. 66 Abs. 1 BGG ). Wie den vorstehenden Ausführungen entnommen werden kann, konnte der Beschwerde von Beginn weg kein Erfolg beschieden sein, weshalb es an einer materiellen Voraussetzung für die Gewährung der unentgeltlichen Rechtspflege mangelt ( Art. 64 Abs. 1 BGG ) und das Gesuch entsprechend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