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684/2008 vom 1. Dezember 2008</w:t>
      </w:r>
    </w:p>
    <w:p>
      <w:r>
        <w:t>Bundesgericht, 2008-12-01, FR</w:t>
      </w:r>
    </w:p>
    <w:p>
      <w:r>
        <w:rPr>
          <w:b/>
        </w:rPr>
        <w:t xml:space="preserve">Quelle: </w:t>
      </w:r>
      <w:r>
        <w:t>https://mcp.opencaselaw.ch/entscheid/bger_5A_684_2008</w:t>
      </w:r>
    </w:p>
    <w:p>
      <w:r>
        <w:t>FR: TF 5A 684/2008 du 1 décembre 2008</w:t>
      </w:r>
    </w:p>
    <w:p>
      <w:r>
        <w:t>IT: TF 5A 684/2008 del 1 dicembre 2008</w:t>
      </w:r>
    </w:p>
    <w:p>
      <w:pPr>
        <w:pStyle w:val="Heading2"/>
      </w:pPr>
      <w:r>
        <w:t>Regeste</w:t>
      </w:r>
    </w:p>
    <w:p>
      <w:r>
        <w:t>avis de saisie | Droit des poursuites et faillites</w:t>
      </w:r>
    </w:p>
    <w:p>
      <w:pPr>
        <w:pStyle w:val="Heading2"/>
      </w:pPr>
      <w:r>
        <w:t>Erwägungen</w:t>
      </w:r>
    </w:p>
    <w:p>
      <w:r>
        <w:rPr>
          <w:b/>
        </w:rPr>
        <w:t>E. 1.1</w:t>
      </w:r>
    </w:p>
    <w:p>
      <w:r>
        <w:t>Interjeté par la partie qui a été déboutée de ses conclusions prises dans l'instance précédente ( art. 76 al. 1 LTF ) et dirigé contre une décision finale ( art. 90 LTF ; ATF 133 III 350 consid. 1.2 p. 351) rendue en matière de poursuite pour dettes et de faillite ( art. 72 al. 2 let. a LTF ) par une autorité cantonale de surveillance statuant en dernière instance ( art. 75 al. 1 LTF ), le recours en matière civile est en principe recevable, et ce indépendamment de la valeur litigieuse ( art. 74 al. 2 let . c LTF). Il a par ailleurs été déposé dans le délai ( art. 100 al. 2 let. a LTF ) et la forme ( art. 42 LTF ) prévus par la loi.</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 Il ne connaît de la violation de droits fondamentaux ou du droit cantonal que si ce grief a été soulevé et motivé par le recourant ( art. 106 al. 2 LTF ), les exigences de motivation correspondant à celles de l'ancien art. 90 al. 1 let. b OJ ( ATF 133 II 249 consid. 1.4.2 p. 254; 133 III 393 consid. 6 p. 397).</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w:t>
      </w:r>
    </w:p>
    <w:p>
      <w:r>
        <w:rPr>
          <w:b/>
        </w:rPr>
        <w:t>E. 2</w:t>
      </w:r>
    </w:p>
    <w:p>
      <w:r>
        <w:t>Selon la décision attaquée, le recourant perçoit un revenu mensuel de 3'399 fr. 25. Son minimum vital a été arrêté à 2'699 fr. 25 par mois et inclut des frais pour trajets professionnels de 470 fr., sa voiture étant considérée comme un objet de stricte nécessité. L'autorité cantonale a en revanche refusé de prendre en considération les mensualités de 500 fr. versées par le recourant en remboursement de l'achat à crédit de son véhicule. Elle s'est référée à cet égard aux Lignes directrices pour le calcul du minimum d'existence en matière de poursuite selon l' art. 93 LP (BISchK 2001 pp. 19 ss) de la Conférence des préposés aux poursuites et faillites de Suisse (ci-après: la Conférence des préposés), reprises dans la Circulaire B3 de l'Autorité de surveillance en matière de poursuite et de faillite du canton de Berne (ci-après: la Circulaire B 3), dont il ressort que les paiements par acomptes ou loyer/leasing, que le débiteur est tenu contractuellement de payer et dont il justifie le paiement, pour les objets de stricte nécessité, doivent être ajoutés au montant de base, à la condition que le vendeur se soit réservé la propriété de l'objet. En l'espèce, toutefois, la réserve de propriété mentionnée dans le contrat de vente du véhicule du recourant n'avait pas été inscrite dans le registre public prévu à cet effet et tenu par l'office des poursuites ( art. 715 CC ).</w:t>
      </w:r>
    </w:p>
    <w:p>
      <w:r>
        <w:rPr>
          <w:b/>
        </w:rPr>
        <w:t>E. 3</w:t>
      </w:r>
    </w:p>
    <w:p>
      <w:r>
        <w:t>Le recourant soutient que la saisie ordonnée porte atteinte à son minimum vital, lequel devrait tenir compte des mensualités de 500 fr. qu'il paie pour un objet de stricte nécessité.</w:t>
      </w:r>
    </w:p>
    <w:p>
      <w:r>
        <w:rPr>
          <w:b/>
        </w:rPr>
        <w:t>E. 3.1</w:t>
      </w:r>
    </w:p>
    <w:p>
      <w:r>
        <w:t>Selon la jurisprudence, en cas de saisie de salaire, il y a lieu d'ajouter au montant des dépenses indispensables à l'entretien du débiteur et de sa famille les versements que le débiteur s'est engagé à effectuer soit à titre d'acomptes sur le prix des meubles insaisissables qu'il a achetés à tempérament et dont le vendeur s'est réservé la propriété jusqu'à complet paiement, soit à titre de loyer des biens de même nature qui lui ont été loués. En revanche, n'entrent pas en ligne de compte les sommes que le débiteur s'est engagé à payer sur le prix des meubles insaisissables qu'il a achetés à tempérament et dont le vendeur ne s'est pas réservé la propriété. Dans cette dernière hypothèse, le débiteur ne risque pas de se voir privé de biens déclarés insaisissables en tardant à en payer le prix et le vendeur, qui ne s'est pas assuré un privilège, ne mérite pas de se voir favorisé par rapport aux autres créanciers ( ATF 82 III 26 consid. 1 p. 28). Le point II ch. 7 de l'annexe 1 de la Circulaire B 3 reprend les principes posés par cette jurisprudence. A teneur de l' art. 715 al. 1 CC , le pacte de réserve de propriété ne produit ses effets que s'il a été inscrit dans le registre des pactes de réserve de propriété. L'inscription a un effet constitutif, en ce sens que, avant celle-ci, le pacte ne produit aucun effet réel, ni entre les parties, ni envers les tiers; l'acquéreur peut ainsi valablement disposer de la chose, même en faveur d'un tiers qui connaît le pacte (Steinauer, Les droits réels, tome II, 3e éd. 2002, n° 2041 et les références citées). Sans inscription, l'acheteur acquiert ainsi par la tradition la pleine propriété sur l'objet, bien que celle-ci devrait être seulement conditionnelle compte tenu du pacte (LEEMANN, Berner Kommentar, 2e éd. 1920, n° 39 et 40 ad art. 715 CC ).</w:t>
      </w:r>
    </w:p>
    <w:p>
      <w:r>
        <w:rPr>
          <w:b/>
        </w:rPr>
        <w:t>E. 3.2</w:t>
      </w:r>
    </w:p>
    <w:p>
      <w:r>
        <w:t>En l'espèce, le recourant se borne à affirmer péremptoirement, en contradiction manifeste avec les principes susmentionnés, que l'inscription ou non du pacte de réserve est sans pertinence sur l'obligation pour l'Office d'inclure dans son minimum vital les mensualités dont il doit s'acquitter pour un véhicule reconnu indispensable à son activité professionnelle. La décision de l'autorité cantonale, qui a constaté de manière à lier le Tribunal fédéral ( art. 105 al. 1 LTF ) que la réserve de propriété n'avait pas été transcrite dans le registre des pactes de réserve de propriété et n'avait donc déployé aucun effet réel en faveur du vendeur de la voiture, ne souffre au demeurant aucune critique. C'est à bon droit que les acomptes payés par le recourant n'ont dès lors pas été comptabilisés dans le minimum vital. Cela étant, le grief est mal fondé dans la faible mesure de sa recevabilité.</w:t>
      </w:r>
    </w:p>
    <w:p>
      <w:r>
        <w:rPr>
          <w:b/>
        </w:rPr>
        <w:t>E. 4</w:t>
      </w:r>
    </w:p>
    <w:p>
      <w:r>
        <w:t>En conclusion, le recours doit être rejeté dans la mesure où il est recevable. Comme il était par ailleurs manifestement voué à l'échec, l'assistance judiciaire ne saurait être accordée ( art. 64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