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683/2022 vom 2. Juni 2023</w:t>
      </w:r>
    </w:p>
    <w:p>
      <w:r>
        <w:t>Bundesgericht, 2023-06-02, FR</w:t>
      </w:r>
    </w:p>
    <w:p>
      <w:r>
        <w:rPr>
          <w:b/>
        </w:rPr>
        <w:t xml:space="preserve">Quelle: </w:t>
      </w:r>
      <w:r>
        <w:t>https://mcp.opencaselaw.ch/entscheid/bger_5A_683_2022</w:t>
      </w:r>
    </w:p>
    <w:p>
      <w:r>
        <w:t>FR: TF 5A 683/2022 du 2 juin 2023</w:t>
      </w:r>
    </w:p>
    <w:p>
      <w:r>
        <w:t>IT: TF 5A 683/2022 del 2 giugno 2023</w:t>
      </w:r>
    </w:p>
    <w:p>
      <w:pPr>
        <w:pStyle w:val="Heading2"/>
      </w:pPr>
      <w:r>
        <w:t>Regeste</w:t>
      </w:r>
    </w:p>
    <w:p>
      <w:r>
        <w:t>divorce (partage de la prévoyance professionnelle) | Droit de la famille</w:t>
      </w:r>
    </w:p>
    <w:p>
      <w:pPr>
        <w:pStyle w:val="Heading2"/>
      </w:pPr>
      <w:r>
        <w:t>Erwägungen</w:t>
      </w:r>
    </w:p>
    <w:p>
      <w:r>
        <w:rPr>
          <w:b/>
        </w:rPr>
        <w:t>E. 1</w:t>
      </w:r>
    </w:p>
    <w:p>
      <w:r>
        <w:t>En droit privé, l'acquiescement pur et simple de l'intimé aux conclusions formulées dans le recours est susceptible de rendre la cause sans objet (ordonnance 5A_538/2021 du 27 janvier 2022 et les références; AUBRY GIRARDIN, in Commentaire de la LTF, 3ème éd. 2022, n° 29 ad art. 32 LTF ). S'agissant du sort des avoirs de prévoyance professionnelle en cas de divorce, l'éventuel accord des parties sur le partage et les modalités de son exécution ne déploie, en tant que tel, aucun effet. La convention n'est en effet valable qu'une fois ratifiée par le tribunal aux conditions de l' art. 280 al. 1 CPC (cf. ég. art. 279 al. 2, 1ère phr., CC; arrêts 5A_218/2019 du 11 mars 2020 consid. 2.2; 5A_721/2012 du 17 janvier 2013 consid. 3.2.1) et celui-ci doit la faire figurer dans le dispositif de son jugement (art. 279 al. 2, 2ème phr., CC). Il doit par ailleurs communiquer aux institutions de prévoyance les dispositions de la décision entrée en force qui les concernent ( art. 280 al. 2 CPC ). Dans ces circonstances, le présent recours n'apparaît pas dépourvu d'objet.</w:t>
      </w:r>
    </w:p>
    <w:p>
      <w:r>
        <w:rPr>
          <w:b/>
        </w:rPr>
        <w:t>E. 2.1</w:t>
      </w:r>
    </w:p>
    <w:p>
      <w:r>
        <w:t>Conformément à l' art. 280 al. 1 CPC , le tribunal ratifie la convention de partage des prétentions de prévoyance professionnelle lorsque les époux se sont entendus sur le partage et les modalités de son exécution (let. a), qu'ils produisent une attestation des institutions de prévoyance professionnelle concernées qui confirme que l'accord est réalisable et précise le montant des avoirs ou des rentes à partager (let. b) et que le tribunal est convaincu que la convention est conforme à la loi (let. c).</w:t>
      </w:r>
    </w:p>
    <w:p>
      <w:r>
        <w:rPr>
          <w:b/>
        </w:rPr>
        <w:t>E. 2.2</w:t>
      </w:r>
    </w:p>
    <w:p>
      <w:r>
        <w:t>En l'occurrence, les parties s'entendent sur le partage par moitié des avoirs de prévoyance professionnelle - la cour cantonale ayant rejeté la conclusion de la recourante tendant à l'allocation de 3/4 des avoirs en sa faveur et celle-ci n'ayant pas repris cette conclusion dans son présent recours - et sur les modalités de celui-ci (cf. art. 280 al. 1 let. a CPC ). L'intimé a en particulier acquiescé à ce qu'ordre soit donné à la Fondation de prévoyance G.________ AG, et non aux fondations du groupe D.________, de transférer les avoirs de prévoyance en faveur de la recourante. Il n'a toutefois pas produit l'attestation - requise par l' art. 280 al. 1 let. b CPC - de sa nouvelle institution de prévoyance concernant la faisabilité du partage et la recourante a maintenu devant la Cour de céans sa conclusion tendant à ordonner la production de ladite attestation. Le Tribunal fédéral n'ordonne toutefois qu'exceptionnellement des mesures probatoires ( art. 55 LTF ) dans une procédure de recours, dès lors qu'il conduit en principe son raisonnement juridique sur la base des faits établis par l'autorité précédente ( art. 105 al. 1 LTF ; ATF 136 II 101 consid. 2; arrêts 5A_666/2022 du 13 avril 2023 consid. 3; 5A_633/2022 du 8 mars 2023 consid. 1.3 et les références). En l'occurrence, la Cour de céans ne disposant pas de tous les éléments lui permettant de ratifier l'accord des parties (cf. ATF 138 III 532 consid. 3 pour un cas dans lequel le Tribunal fédéral disposait de l'attestation requise et a ratifié directement la convention; cf. ég. arrêt 5A_214/2013 du 16 février 2016), il convient de renvoyer la cause à la Chambre civile de la Cour de justice. Si l'ex-époux ne lui remet pas l'attestation requise de son propre chef, il lui appartiendra d'interpeller elle-même l'institution de prévoyance concernée ( art. 281 al. 1 CPC ; STALDER/VAN DE GRAFF, Kurzkommentar Zivilprozessordnung, 3ème éd. 2021, n° 3 ad art. 281 CPC ) et, dans le cas où elle ne parviendrait pas à obtenir l'attestation nécessaire ( ATF 134 V 384 consid. 1.1.2; 132 V 337 consid. 1.1), de renvoyer la cause à la Chambre des assurances sociales ( art. 281 al. 3 CPC ).</w:t>
      </w:r>
    </w:p>
    <w:p>
      <w:r>
        <w:rPr>
          <w:b/>
        </w:rPr>
        <w:t>E. 3</w:t>
      </w:r>
    </w:p>
    <w:p>
      <w:r>
        <w:t>En conclusion, le recours est admis. L'arrêt attaqué est annulé en tant qu'il réforme les ch. 26 et 27 du dispositif du jugement de première instance et la cause renvoyée à la juridiction précédente pour nouvelle décision au sens des considérants.</w:t>
      </w:r>
    </w:p>
    <w:p>
      <w:r>
        <w:rPr>
          <w:b/>
        </w:rPr>
        <w:t>E. 3.1</w:t>
      </w:r>
    </w:p>
    <w:p>
      <w:r>
        <w:t>La répartition des frais et dépens de la présente procédure est litigieuse. La recourante fait valoir qu'ils devraient être mis entièrement à la charge de l'intimé, celui-ci n'ayant nullement collaboré s'agissant de la détermination de la fondation de prévoyance détenant ses avoirs. L'intimé soutient pour sa part que les frais judiciaires devraient être répartis par moitié et qu'il n'y aurait pas lieu d'allouer de dépens à la recourante. Il fait valoir qu'il n'a nullement dissimulé les informations concernant son changement de caisse de prévoyance, " [son] licenciement et le consécutif transfert de ses avoirs LPP auprès d'un autre compte de libre passage [étant] survenus pendant qu'[il] était au chômage, et [étant] donc passé inaperçus tant par (sic) les parties que par les autorités judiciaires ".</w:t>
      </w:r>
    </w:p>
    <w:p>
      <w:r>
        <w:rPr>
          <w:b/>
        </w:rPr>
        <w:t>E. 3.2</w:t>
      </w:r>
    </w:p>
    <w:p>
      <w:r>
        <w:t>En l'occurrence, la recourante obtient gain de cause. L'intimé n'a pas fourni l'attestation de sa nouvelle caisse de pension, alors que la recourante n'a eu de cesse de la réclamer, y compris dans sa réplique du 5 avril 2023 à laquelle l'intimé n'a pas réagi. Dans ces circonstances, il convient de mettre à la charge de l'intimé les frais de la présente procédure ( art. 66 al. 1 LTF ). Celui-ci devra en outre une indemnité de dépens à la recourante ( art. 68 al. 1 et 2 LTF ). Compte tenu de l'issue de la cause, la juridiction précédente examinera s'il y a lieu, le cas échéant, de modifier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