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5A_683/2019 vom 29. Oktober 2019</w:t>
      </w:r>
    </w:p>
    <w:p>
      <w:r>
        <w:t>Bundesgericht, 2019-10-29, IT</w:t>
      </w:r>
    </w:p>
    <w:p>
      <w:r>
        <w:rPr>
          <w:b/>
        </w:rPr>
        <w:t xml:space="preserve">Quelle: </w:t>
      </w:r>
      <w:r>
        <w:t>https://mcp.opencaselaw.ch/entscheid/bger_5A_683_2019</w:t>
      </w:r>
    </w:p>
    <w:p>
      <w:r>
        <w:t>FR: TF 5A_683/2019 du 29 octobre 2019</w:t>
      </w:r>
    </w:p>
    <w:p>
      <w:r>
        <w:t>IT: TF 5A_683/2019 del 29 ottobre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fondo n. 710 RFD di X.________ di proprietà di A.________ confina con il fondo n. 713 appartenente a B.________. Parte delle acque pluviali provenienti dal tetto di un edificio sito sulla particella n. 713 viene raccolta in tubature che attraversano anche (sopra e sotto terra) la particella n. 710 per poi sfociare in un pozzetto posto su un fondo di proprietà del Comune di X.________.</w:t>
      </w:r>
    </w:p>
    <w:p>
      <w:r>
        <w:t>Con petizione 12 gennaio 2017, dopo aver ottenuto l'autorizzazione ad agire, A.________ ha convenuto B.________ dinanzi al Pretore del Distretto di Vallemaggia per ottenere il ripristino del suo fondo " come allo stato iniziale " (ossia la rimozione delle tubature poste sulla sua particella) ed il versamento di un'indennità di fr. 5'000.-- quale " usufrutto del fondo ". Con decisione 23/31 ottobre 2017 il Pretore ha parzialmente accolto la petizione, obbligando B.________ a versare a A.________ fr. 300.-- quale risarcimento " per l'occupazione, con l'infrastruttura di drenaggio, del fondo dell'attrice ".</w:t>
      </w:r>
    </w:p>
    <w:p>
      <w:r>
        <w:t>Con sentenza 28 giugno 2019 la Camera civile dei reclami del Tribunale d'appello del Cantone Ticino ha respinto, nella misura della sua ricevibilità, il reclamo con cui A.________ ha chiesto in via principale di accogliere la sua petizione e in via subordinata di rinviare gli atti al primo giudice per nuova decisione.</w:t>
      </w:r>
    </w:p>
    <w:p>
      <w:r>
        <w:rPr>
          <w:b/>
        </w:rPr>
        <w:t>E. 2</w:t>
      </w:r>
    </w:p>
    <w:p>
      <w:r>
        <w:t>Con ricorso in materia civile e ricorso sussidiario in materia costituzionale 30 agosto 2019 A.________ ha impugnato la sentenza cantonale dinanzi al Tribunale federale.</w:t>
      </w:r>
    </w:p>
    <w:p>
      <w:r>
        <w:t>Non sono state chieste determinazioni.</w:t>
      </w:r>
    </w:p>
    <w:p>
      <w:r>
        <w:rPr>
          <w:b/>
        </w:rPr>
        <w:t>E. 3</w:t>
      </w:r>
    </w:p>
    <w:p>
      <w:r>
        <w:t>Giusta l' art. 54 cpv. 1 LTF il procedimento dinanzi al Tribunale federale si svolge in una delle lingue ufficiali (tedesco, francese, italiano, rumantsch grischun), di regola nella lingua della decisione impugnata, che in concreto è la lingua italiana. Di conseguenza si giustifica redigere questa sentenza in italiano, pur essendo il ricorso stato steso in francese, come era diritto della ricorrente ( art. 42 cpv. 1 LTF ).</w:t>
      </w:r>
    </w:p>
    <w:p>
      <w:r>
        <w:rPr>
          <w:b/>
        </w:rPr>
        <w:t>E. 4</w:t>
      </w:r>
    </w:p>
    <w:p>
      <w:r>
        <w:t>L'atto ricorsuale al Tribunale federale deve contenere le conclusioni ed i motivi ( art. 42 cpv. 1 LTF ). Le conclusioni devono essere riformatorie ( DTF 137 III 313 consid. 1.3), nonché chiare e precise (sentenza 4A_402/2011 del 19 dicembre 2011 consid. 1.2), ossia enunciare esattamente quali sono le modifiche richieste. La mancata ottemperanza a tali esigenze conduce all'inammissibilità del ricorso, a meno che la motivazione dello stesso, eventualmente letta in combinazione con la decisione impugnata, permetta senz'altro di comprendere ciò che la parte ricorrente voglia ottenere nel merito ( DTF 137 II 313 consid. 1.3; 133 II 409 consid. 1.4.2).</w:t>
      </w:r>
    </w:p>
    <w:p>
      <w:r>
        <w:t>Nel caso concreto le conclusioni sono insufficienti: la ricorrente si limita infatti a chiedere al Tribunale federale di fare una propria analisi dell'incarto per dare un giusto esito alla vertenza. Contrariamente a quanto fatto in prima ed in seconda istanza, ella non precisa più ciò che desidera ottenere nel merito. Nemmeno prendendo in considerazione la motivazione è possibile determinarlo: la ricorrente ripercorre lo svolgimento dei fatti della causa e lamenta l'esistenza di una situazione non conforme al diritto, ma non è dato di capire in che modo esattamente vorrebbe che il Tribunale federale modifichi la sentenza cantonale.</w:t>
      </w:r>
    </w:p>
    <w:p>
      <w:r>
        <w:rPr>
          <w:b/>
        </w:rPr>
        <w:t>E. 5</w:t>
      </w:r>
    </w:p>
    <w:p>
      <w:r>
        <w:t>Da quanto precede discende che il ricorso in materia civile ed il ricorso sussidiario in materia costituzionale devono essere dichiarati inammissibili.</w:t>
      </w:r>
    </w:p>
    <w:p>
      <w:r>
        <w:t>Le spese giudiziarie seguono la soccombenza ( art. 66 cpv.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