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5A_681/2011 vom 23. November 2011</w:t>
      </w:r>
    </w:p>
    <w:p>
      <w:r>
        <w:t>Bundesgericht, 2011-11-23, FR</w:t>
      </w:r>
    </w:p>
    <w:p>
      <w:r>
        <w:rPr>
          <w:b/>
        </w:rPr>
        <w:t xml:space="preserve">Quelle: </w:t>
      </w:r>
      <w:r>
        <w:t>https://mcp.opencaselaw.ch/entscheid/bger_5A_681_2011</w:t>
      </w:r>
    </w:p>
    <w:p>
      <w:r>
        <w:t>FR: TF 5A_681/2011 du 23 novembre 2011</w:t>
      </w:r>
    </w:p>
    <w:p>
      <w:r>
        <w:t>IT: TF 5A_681/2011 del 23 novembre 2011</w:t>
      </w:r>
    </w:p>
    <w:p>
      <w:pPr>
        <w:pStyle w:val="Heading2"/>
      </w:pPr>
      <w:r>
        <w:t>Erwägungen</w:t>
      </w:r>
    </w:p>
    <w:p>
      <w:r>
        <w:rPr>
          <w:b/>
        </w:rPr>
        <w:t>E. 1</w:t>
      </w:r>
    </w:p>
    <w:p>
      <w:r>
        <w:t>La décision rendue par une autorité cantonale de surveillance dans le cadre de l'exécution du séquestre est une décision en matière de poursuite pour dettes et de faillite sujette au recours en matière civile ( art. 72 al. 2 let. a LTF ), indépendamment de la valeur litigieuse ( art. 74 al. 2 let . c LTF). Elle est finale au sens de l' art. 90 LTF , car elle met fin à la procédure d'exécution du séquestre. La décision attaquée a été prise par une autorité cantonale de dernière (unique) instance ( art. 75 al. 1 LTF ) et la recourante, qui a pris part à la procédure devant l'autorité précédente, a un intérêt digne de protection à son annulation ou à sa modification ( art. 76 al. 1 LTF ). Interjeté en temps utile ( art. 100 al. 2 let. a LTF ), le recours en matière civile est donc recevable en principe. Partant, le recours constitutionnel subsidiaire est irrecevable ( art. 113 LTF ).</w:t>
      </w:r>
    </w:p>
    <w:p>
      <w:r>
        <w:rPr>
          <w:b/>
        </w:rPr>
        <w:t>E. 2</w:t>
      </w:r>
    </w:p>
    <w:p>
      <w:r>
        <w:t>L'exécution du séquestre ( art. 275 LP ) n'étant pas considérée comme une mesure provisionnelle au sens de l' art. 98 LTF (arrêt 5A_360/2010 du 12 juillet 2010 consid. 1.2 non publié in ATF 136 III 379 et les références citées), la limitation à la seule invocation des droits constitutionnels prévue par cette disposition ne s'applique pas. Le recours peut donc être formé pour violation du droit suisse tel qu'il est délimité à l' art. 95 LTF , soit notamment pour violation du droit fédéral (let. a), lequel comprend les droits constitutionnels ( ATF 133 III 446 consid. 3.1, 462 consid. 2.3).</w:t>
      </w:r>
    </w:p>
    <w:p>
      <w:r>
        <w:rPr>
          <w:b/>
        </w:rPr>
        <w:t>E. 3</w:t>
      </w:r>
    </w:p>
    <w:p>
      <w:r>
        <w:t>Le Tribunal fédéral applique le droit d'office ( art. 106 al. 1 LTF ), sans être lié ni par les motifs de l'autorité précédente, ni par les moyens des parties. Eu égard à l'exigence de motivation prévue à l' art. 42 al. 1 et 2 LTF , il n'examine cependant que les griefs invoqués, pour autant que les vices ne soient pas évidents. Il n'est pas tenu de traiter toutes les questions juridiques qui se posent, comme le ferait une autorité de première instance, lorsque celles-ci ne sont pas ou plus abordées devant lui. S'agissant de la violation des droits fondamentaux, le recourant doit, dans son mémoire, exposer en quoi consiste la violation alléguée, c'est-à-dire discuter les motifs de la décision entreprise et indiquer en quoi il estime que l'autorité précédente a méconnu ses droits fondamentaux ("principe d'allégation"; art. 106 al. 2 LTF ; ATF 134 I 83 consid. 3.2; 133 II 249 consid. 1.4.2; 133 IV 286 consid. 1.4).</w:t>
      </w:r>
    </w:p>
    <w:p>
      <w:r>
        <w:t>Le Tribunal fédéral statue par ailleurs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133 II 249 consid. 1.2.2 p. 252)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4</w:t>
      </w:r>
    </w:p>
    <w:p>
      <w:r>
        <w:t>A l'appui de son grief d'arbitraire dans l'établissement des faits, la recourante se contente de citer un passage du Statut de la "Kyrgyzaeronavigatsia" (art. 3.1 tronqué, p. 6, d'où il ressortirait clairement que les tâches accomplies par cette entreprise, partant l'affectation des avoirs litigieux, procéderaient d'une logique commerciale pure), de reprocher à l'autorité cantonale de surveillance d'avoir tout simplement ignoré ces faits et de s'être ainsi arbitrairement limitée à ceux qui lui ont paru pertinents. Elle ne fait là toutefois qu'opposer son point de vue à celui de l'autorité cantonale, sans même discuter les arguments de celle-ci. Elle n'expose notamment pas en quoi il aurait été insoutenable de se fonder sur l'ensemble des documents produits, soit: tout d'abord la note diplomatique du 17 septembre 2010, qui confirmait que les montants collectés par IATA étaient pleinement et exclusivement alloués à l'activité de contrôle de l'espace aérien khirgize sous la responsabilité de la "Kyrgyzaeronavigatsia"; ensuite, la confirmation de l'Ambassade du Kirghizistan en Suisse du 1er octobre 2010 quant à la collecte des charges dues pour l'utilisation de l'espace aérien khirgize; enfin, les informations du représentant du gouvernement khirgize du 22 octobre 2010, tirées de dispositions du Statut de la "Kyrgyzaeronavigatsia" (art. 1.2, 1.3 et 3.7) concernant la situation d'entreprise d'Etat de celle-ci fondée sur le principe des biens affectés, l'insaisissabilité de ses biens et son "non-engagement aux obligations" de l'Etat kirghize. La recourante ne démontre donc pas que les constatations de l'autorité cantonale seraient arbitraires.</w:t>
      </w:r>
    </w:p>
    <w:p>
      <w:r>
        <w:t>Au vu des documents précités, la décision attaquée n'apparaît d'ailleurs nullement arbitraire. En tant qu'ils sont constitués des redevances perçues pour la surveillance de l'espace aérien, tâche relevant de la puissance publique, les actifs séquestrés en mains d'IATA rentrent bien dans la catégorie des biens insaisissables visés à l' art. 92 al. 1 ch. 11 LP ; partant, comme l'a retenu pertinemment l'autorité cantonale de surveillance, l'office a eu raison de constater la nullité du séquestre et de révoquer son exécution.</w:t>
      </w:r>
    </w:p>
    <w:p>
      <w:r>
        <w:t>Dans la mesure où il est recevable, le grief d'arbitraire est donc mal fondé.</w:t>
      </w:r>
    </w:p>
    <w:p>
      <w:r>
        <w:rPr>
          <w:b/>
        </w:rPr>
        <w:t>E. 5</w:t>
      </w:r>
    </w:p>
    <w:p>
      <w:r>
        <w:t>Comme elle l'a fait en instance cantonale, la recourante se réfère à la décision DCSO/690/06 du 30 novembre 2006 pour soutenir que si la nature des avoirs à séquestrer découle d'une prérogative de l'Etat souverain, les tâches auxquelles ils sont affectés, en revanche, ne relèvent pas de la puissance publique, mais du secteur privé. Elle ne s'en prend toutefois pas au considérant de l'autorité précédente qui a jugé vaine la référence en question au motif que, dans le cas de 2006, l'entité visée n'était pas, comme ici, une entreprise d'Etat mais une organisation interétatique disposant d'un patrimoine déterminé en pleine et exclusive propriété, séparé de celui des Etats qui lui avaient délégué le pouvoir de prélever les taxes de survol de leurs espaces aériens et auxquels elle ne reversait aucune somme perçue.</w:t>
      </w:r>
    </w:p>
    <w:p>
      <w:r>
        <w:t>En l'absence de grief dûment soulevé et motivé conformément aux exigences légales (cf. consid. 3 ci-dessus), le recours est irrecevable sur ce point.</w:t>
      </w:r>
    </w:p>
    <w:p>
      <w:r>
        <w:rPr>
          <w:b/>
        </w:rPr>
        <w:t>E. 6</w:t>
      </w:r>
    </w:p>
    <w:p>
      <w:r>
        <w:t>Il résulte de ce qui précède que le recours constitutionnel doit être déclaré irrecevable et le recours en matière civile rejeté, dans la mesure de sa recevabilité, aux frais de leur auteur ( art. 66 al. 1 LTF ).</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