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5A_680/2021 vom 30. August 2021</w:t>
      </w:r>
    </w:p>
    <w:p>
      <w:r>
        <w:t>Bundesgericht, 2021-08-30, DE</w:t>
      </w:r>
    </w:p>
    <w:p>
      <w:r>
        <w:rPr>
          <w:b/>
        </w:rPr>
        <w:t xml:space="preserve">Quelle: </w:t>
      </w:r>
      <w:r>
        <w:t>https://mcp.opencaselaw.ch/entscheid/bger_5A_680_2021</w:t>
      </w:r>
    </w:p>
    <w:p>
      <w:r>
        <w:t>FR: TF 5A_680/2021 du 30 août 2021</w:t>
      </w:r>
    </w:p>
    <w:p>
      <w:r>
        <w:t>IT: TF 5A_680/2021 del 30 agosto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Was die Tatsachenfeststellungen im Zusammenhang mit der Berechnung des Existenzminimums angelangt, hält die Beschwerdeführerin zwar abstrakt fest, ihre verfassungsmässigen Rechte würden verletzt. Indes führt sie nicht an, um welche es sich handeln soll, und lässt es bei der appellatorisch vorgetragenen Aussage bewenden, wenn sie tatsächlich nur von den zugestandenen Beträgen leben würde, wäre sie längst tot. In den kantonalen Entscheiden wird im Einzelnen ausgeführt, wieso welche Beträge zugestanden wurden; damit setzt sich die Beschwerdeführerin nicht konkret auseinander.</w:t>
      </w:r>
    </w:p>
    <w:p>
      <w:r>
        <w:rPr>
          <w:b/>
        </w:rPr>
        <w:t>E. 3</w:t>
      </w:r>
    </w:p>
    <w:p>
      <w:r>
        <w:t>Die Aussichtslosigkeit des Hauptverfahrens wurde dahingehend begründet, dass der Beschwerdegegner dem Anwaltsgeheimnis unterliege und die ihm von seiner Mandantschaft anvertrauten Daten nicht bekanntgeben dürfe; die Daten seien mithin geschützt und einem diesbezüglichen Auskunftsbegehren könne kein Erfolg beschieden sein. Weder das Vorbringen, das Auskunftsbegehren betreffe gar nicht das Verhältnis zwischen dem Anwalt und dem Mandanten, sondern einzig sie und den Beschwerdegegner, noch der Verweis auf Art. 91 SchKG , wonach auch Dritte gegenüber dem Betreibungsamt auskunftspflichtig seien, stellt eine sachgerichtete Auseinandersetzung mit den Erwägungen des angefochtenen Entscheides dar: Das Auskunftsbegehren hat offensichtlich zum Zweck, an Daten heranzukommen, welche dem Anwaltsgeheimnis unterliegen, und im Übrigen ist die Beschwerdeführerin weder ein Betreibungsamt noch geht es um eine Pfändung. Inwiefern dem Auskunftsbegehren einer Drittperson für Daten, welche dem Anwaltsgeheimnis unterliegen, soll Erfolg beschieden sein können, bleibt das Geheimnis der Beschwerdeführerin; eine Rechtsverletzung im Zusammenhang mit der Abweisung des diesbezüglichen Gesuches um unentgeltliche Rechtspflege ist jedenfalls nicht ansatzweise dargetan.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