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5A_680/2014 vom 21. November 2014</w:t>
      </w:r>
    </w:p>
    <w:p>
      <w:r>
        <w:t>Bundesgericht, 2014-11-21, FR</w:t>
      </w:r>
    </w:p>
    <w:p>
      <w:r>
        <w:rPr>
          <w:b/>
        </w:rPr>
        <w:t xml:space="preserve">Quelle: </w:t>
      </w:r>
      <w:r>
        <w:t>https://mcp.opencaselaw.ch/entscheid/bger_5A_680_2014</w:t>
      </w:r>
    </w:p>
    <w:p>
      <w:r>
        <w:t>FR: TF 5A_680/2014 du 21 novembre 2014</w:t>
      </w:r>
    </w:p>
    <w:p>
      <w:r>
        <w:t>IT: TF 5A_680/2014 del 21 novembre 2014</w:t>
      </w:r>
    </w:p>
    <w:p>
      <w:pPr>
        <w:pStyle w:val="Heading2"/>
      </w:pPr>
      <w:r>
        <w:t>Erwägungen</w:t>
      </w:r>
    </w:p>
    <w:p>
      <w:r>
        <w:rPr>
          <w:b/>
        </w:rPr>
        <w:t>E. 1</w:t>
      </w:r>
    </w:p>
    <w:p>
      <w:r>
        <w:t>Le présent recours a été déposé en temps utile ( art. 100 al. 1 LTF ) ainsi que dans la forme légale ( art. 42 LTF ), contre une décision finale ( art. 90 LTF ; ATF 133 III 393 consid. 4 p. 395 s.) rendue sur recours par une autorité supérieure statuant en dernière instance cantonale ( art. 75 al. 1 et 2 LTF ), dans une affaire matrimoniale ( art. 72 al. 1 LTF ). Le litige porte sur le droit de garde des trois enfants, et les conséquences, notamment financières, qui en découlent; la cause est ainsi non pécuniaire dans son ensemble (arrêts 5A_483/2011 du 31 octobre 2011 consid. 1.1; 5A_220/2009 du 30 juin 2009 consid. 1).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w:t>
      </w:r>
    </w:p>
    <w:p>
      <w:r>
        <w:t>Dès lors que la décision attaquée porte sur le prononcé de mesures protectrices de l'union conjugale (art. 172 à 179 CC), lesquelles sont considérées comme des mesures provisionnelles au sens de l' art. 98 LTF ( ATF 133 III 393 consid. 5 p. 396), le Tribunal fédéral dispose d'un pouvoir d'examen limité, seule la violation des droits constitutionnels pouvant être invoquée. Le Tribunal fédéral n'examine les griefs de violation de droits constitutionnels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2.1</w:t>
      </w:r>
    </w:p>
    <w:p>
      <w:r>
        <w:t>Aux termes de l' art. 271 let. a CPC , les mesures protectrices de l'union conjugale sont ordonnées à la suite d'une procédure sommaire. Bien que les moyens de preuve ne soient pas restreints aux seuls titres, l'administration de ceux-ci doit pouvoir intervenir immédiatement ( art. 254 al. 2 let . c et 272 CPC). La décision de mesures protectrices de l'union conjugale est en principe provisoire et revêtue d'une autorité de la chose jugée limitée. La jurisprudence rendue avant l'entrée en vigueur du CPC demeure applicable (en particulier l' ATF 127 III 474 consid. 2b/bb p. 478) : la cognition du juge est limitée à la simple vraisemblance des faits et à un examen sommaire du droit.</w:t>
      </w:r>
    </w:p>
    <w:p>
      <w:r>
        <w:rPr>
          <w:b/>
        </w:rPr>
        <w:t>E. 2.2</w:t>
      </w:r>
    </w:p>
    <w:p>
      <w:r>
        <w:t>Le Tribunal fédéral statue sur la base des faits établis par l'autorité précédente ( art. 105 al. 1 LTF ) et se montre réservé en ce qui concerne l'appréciation des preuves et la constatation des faits, vu le large pouvoir qu'il reconnaît en la matière à l'autorité cantonale ( ATF 120 Ia 31 consid. 4b p. 40; 118 Ia 28 consid. 1b p. 30 ss). Cette retenue est d'autant plus grande dans le domaine des mesures protectrices de l'union conjugale, ordonnées à la suite d'une procédure sommaire, avec administration restreinte des moyens de preuve et limitation du degré de la preuve à la simple vraisemblance (cf. supra consid. 2.1). Dans le cadre d'un recours soumis à l' art. 98 LTF , le recourant qui entend invoquer que les faits ont été établis de manière manifestement inexacte doit démontrer que celles-ci sont arbitraires au sens de l' art. 9 Cst. , conformément au principe d'allégation (cf. supra consid. 2; ATF 133 II 249 consid. 1.2.2 p. 252; arrêt 5A_338/2010 du 4 octobre 2010 consid. 3.2), en sorte qu'il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 art. 106 al. 2 LTF ).</w:t>
      </w:r>
    </w:p>
    <w:p>
      <w:r>
        <w:rPr>
          <w:b/>
        </w:rPr>
        <w:t>E. 3</w:t>
      </w:r>
    </w:p>
    <w:p>
      <w:r>
        <w:t>Le recours a pour objet l'attribution du droit de garde et l'entretien des enfants, dans le cadre de mesures protectrices de l'union conjugale.</w:t>
      </w:r>
    </w:p>
    <w:p>
      <w:r>
        <w:rPr>
          <w:b/>
        </w:rPr>
        <w:t>E. 4</w:t>
      </w:r>
    </w:p>
    <w:p>
      <w:r>
        <w:t>La recourante se plaint, sous le grief de la violation de l' art. 29 Cst. , que les mesures d'instruction qu'elle a requises aient toutes été rejetées alors que l'intégralité de celles-ci auraient dû être administrées, selon elle. La mère reproche à la cour cantonale de s'être basée sur la seule expertise du Dr F.________. Elle explique avoir requis l'audition de la pédopsychiatre des enfants, qui la suit aussi depuis plusieurs mois et qui craint une manipulation par le père, et estime que l'autorité précédente a versé dans l'arbitraire en refusant ce témoignage au motif qu'elle est la thérapeute d'une seule partie et n'a pas rencontré la partie adverse. La recourante estime que ce faisant la cour cantonale a violé son droit d'être entendue. La mère soutient qu'elle a aussi requis expressément la mise en oeuvre d'une nouvelle expertise, confiée à un autre expert, qui a été refusée en violation du droit à la preuve. Elle relève que l'expert F.________ a effectué une appréciation erronée de la situation, sans tenir compte de ses capacités éducatives meilleures que celles du père. La recourante se plaint aussi de n'avoir pas pu poser des questions écrites à l'expert F.________ et d'avoir dû se limiter à poser des questions en audience, ce qui, selon elle, constitue une violation de son droit à la preuve. La recourante exige donc que ces deux moyens de preuves soient ordonnés et qu'une nouvelle décision soit prise une fois ceux-ci administrés.</w:t>
      </w:r>
    </w:p>
    <w:p>
      <w:r>
        <w:rPr>
          <w:b/>
        </w:rPr>
        <w:t>E. 4.1</w:t>
      </w:r>
    </w:p>
    <w:p>
      <w:r>
        <w:t>La garantie constitutionnelle de l' 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 ATF 132 V 368 consid. 3.1 p. 370 s. et les références; 129 II 497 consid. 2.2 p. 504 s.; 127 III 576 consid. 2c p. 578; 127 I 54 consid. 2b p. 56).</w:t>
      </w:r>
    </w:p>
    <w:p>
      <w:r>
        <w:rPr>
          <w:b/>
        </w:rPr>
        <w:t>E. 4.2</w:t>
      </w:r>
    </w:p>
    <w:p>
      <w:r>
        <w:t>Le grief de violation du droit à la preuve garantit par l' art. 29 Cst. tombe à faux. La recourante, qui se contente d'affirmer que son droit d'être entendu a été violé et d'énoncer les moyens de preuves qu'elle a requis sans succès, ne prétend ainsi ni avoir été empêchée de présenter une preuve, ni que la cour cantonale aurait refusé sans motif l'administration d'une preuve offerte, en sorte que l'on peine à comprendre en quoi le refus d'administrer des preuves offertes serait constitutif d'une violation du droit d'être entendu de la recourante. L'autorité cantonale a jugé que le témoignage de la psychiatre de la mère n'était pas pertinent pour le sort du litige, en raison de la partialité de la thérapeute et que le rapport d'expertise du Dr F.________ résultait d'un travail sérieux, apportait une réponse claire et motivée et que l'expert avait été entendu à l'audience - en particulier que la recourante avait pu l'interroger -, en sorte que celui-ci avait pu être amené à développer et détailler son analyse. Précisant encore que le tribunal appréciait librement les preuves, la cour cantonale a refusé d'entendre la psychiatre de la mère et d'ordonner une nouvelle expertise. Ce faisant, l'autorité précédente a procédé à une appréciation des preuves. Si la recourante entendait la contester, il lui appartenait de soulever un grief détaillé à cet égard ( art. 106 al. 2 LTF ; ATF 131 I 153 consid. 3 p. 157; 130 II 425 consid. 2.1 p. 428), ce qu'elle a d'ailleurs fait en parallèle en invoquant la prohibition de l'arbitraire ( art. 9 Cst. ;</w:t>
      </w:r>
    </w:p>
    <w:p>
      <w:r>
        <w:t>cf. infra consid. 5). L'appréciation des preuves doit donc être examinée sous cet angle.</w:t>
      </w:r>
    </w:p>
    <w:p>
      <w:r>
        <w:rPr>
          <w:b/>
        </w:rPr>
        <w:t>E. 5</w:t>
      </w:r>
    </w:p>
    <w:p>
      <w:r>
        <w:t>La recourante dénonce ensuite l'arbitraire ( art. 9 Cst. ) dans l'établissement des faits et l'appréciation des preuves, ainsi que l'application arbitraire ( art. 9 Cst. ) du droit relatif à l'attribution de la garde, jugeant que la cour cantonale s'est fondée sur des faits manifestement erronés. Considérant que le droit de garde des enfants lui a été retiré, d'une part, parce qu'elle a accusé le père d'actes d'ordre sexuel sur leurs enfants et, d'autre part, parce qu'il pourrait exister à long terme un syndrome d'aliénation parentale, la mère estime que le premier motif doit être relativisé en tenant compte des motifs l'ayant conduite à dénoncer le père, et le second motif n'est ni prouvé, ni actuel. La recourante soutient en revanche que certains éléments ont été omis par la cour cantonale pour examiner l'attribution du droit de garde, à savoir qu'elle dispose de meilleures capacités éducatives que le père, que les conditions d'accueil des enfants sont meilleures chez elle qu'au domicile du père, qu'elle dispose de plus de temps libre et de plus de flexibilité avec son emploi que le père, que les experts de la santé qui suivent les enfants se trouvent à proximité de son domicile, qu'il est admis que le père aurait besoin de l'aide des unités d'accueil et de la crèche pour prendre en charge les enfants, ce qui n'est pas le " rôle du parent gardien ". La mère soutient qu'il ressort du jugement entrepris et des expertises que le transfert de la garde est mû par une volonté de " punition " à son égard, dans la mesure où elle estime que le classement de la procédure pénale contre le père ne doit pas être suivi.</w:t>
      </w:r>
    </w:p>
    <w:p>
      <w:r>
        <w:rPr>
          <w:b/>
        </w:rPr>
        <w:t>E. 5.1</w:t>
      </w:r>
    </w:p>
    <w:p>
      <w:r>
        <w:t>Selon l' art. 176 al. 3 CC relatif à l'organisation de la vie séparée, auquel renvoie l' art. 276 al. 1 CPC , lorsque les époux ont des enfants mineurs, le juge ordonne les mesures nécessaires, d'après les dispositions sur les effets de la filiation ( art. 273 ss CC ); il peut notamment attribuer le droit de garde des enfants à un seul des parents. L'appréciation des circonstances de fait pour fixer le droit de garde et celui aux relations personnelles ( art. 273 ss CC par renvoi de l' art. 176 al. 3 CC ), c'est-à-dire la détermination de leur portée juridique, est une question de droit. Le Tribunal fédéral n'intervient toutefois que si le juge, sans aucun motif, a écarté des critères essentiels pour la décision sur le droit de visite des enfants ou, à l'inverse, s'est fondé sur des éléments dépourvus d'importance au regard du bien des enfants ou contrevenant aux principes du droit fédéral ( ATF 120 II 229 consid. 4a p. 235; arrêt 5C.17/1991 du 19 juin 1991 consid. 2 non publié in ATF 117 II 353 ; arrêts 5A_877/2013 du 10 février 2014 consid. 6.1 et 5A_120/2013 du 23 mai 2013 consid. 2.1.2).</w:t>
      </w:r>
    </w:p>
    <w:p>
      <w:r>
        <w:rPr>
          <w:b/>
        </w:rPr>
        <w:t>E. 5.2</w:t>
      </w:r>
    </w:p>
    <w:p>
      <w:r>
        <w:t>En l'occurrence, la recourante se méprend lorsqu'elle reproche à la cour cantonale d'avoir tenu compte de ses recours successifs contre le classement de la procédure pénale, dès lors que cet élément n'a pas été pris en considération en tant que tel. En revanche, l'autorité précédente a apprécié son comportement de dépréciation du père face aux enfants - amenant ceux-ci à avoir une représentation de leur père ne correspondant pas à la réalité -, dont sa persévérance à considérer le père comme un " pervers sexuel " faisant subir aux enfants " des actes innommables ", en dépit de l'absence d'expertise et</w:t>
      </w:r>
    </w:p>
    <w:p>
      <w:r>
        <w:t>a fortiori de jugement corroborant sa thèse. S'agissant de l'aliénation parentale, la cour cantonale a exposé que, actuellement, la mère ne favorise pas les contacts avec le père, mais cherche à porter le discrédit sur celui-ci en disant qu'il constitue un danger pour les enfants, arguant qu'il n'assure pas leur sécurité, abuse sexuellement de leur fille et s'en prend à l'enfant C.________. La cour cantonale a ainsi jugé le risque d'aliénation parentale concert et a jugé qu'il ne fallait pas que " le mal soit fait pour agir dans l'intérêt des enfants ". La critique de la mère portant sur une aliénation parentale future et hypothétique ne correspond donc pas à la motivation de l'arrêt attaqué; la recourante soumet ainsi sa propre interprétation de la situation. Quant à de prétendues meilleures capacités éducatives dont la mère se prévaut, il ne ressort ni de l'expertise, ni des constatations du SPJ, que tel est effectivement le cas. L'autorité précédente a ainsi exposé que les capacités éducatives de la mère étaient correctes, mais s'appréciaient aussi à l'aune de la disposition de celui-ci à favoriser les contacts des enfants avec l'autre parent, et par là à ne pas manipuler les enfants, ce qui était précisément l'objet du présent litige. En tant qu'elle interprète le fait que le père est prêt à accepter l'aide des intervenants sociaux, elle délivre également sur ce point sa propre version, qui diffère de celle de l'expert, reprise par l'autorité précédente, qui en concluent que le père est plus collaborant, alors que les rapports du dossier montrent une très bonne disposition du père à prendre soin des enfants. Pour le surplus, la recourante présente sa propre appréciation, en la substituant à la motivation de l'arrêt entrepris, et ne démontre nullement que ce dernier raisonnement serait insoutenable. Autant qu'il est recevable, le grief d'arbitraire ( art. 9 Cst. ) relatif à l'attribution du droit de garde doit être rejeté.</w:t>
      </w:r>
    </w:p>
    <w:p>
      <w:r>
        <w:rPr>
          <w:b/>
        </w:rPr>
        <w:t>E. 6</w:t>
      </w:r>
    </w:p>
    <w:p>
      <w:r>
        <w:t>En cas de rejet de son recours s'agissant du droit de garde, la mère conteste également, sous l'angle de l'arbitraire ( art. 9 Cst. ) la contribution d'entretien de xxxx fr. à laquelle elle a été astreinte pour l'entretien de ses enfants ( art. 176 al. 1 CC ). La recourante critique la méthode de calcul abstraite (méthode des pourcentages), au vu du large droit de visite dont elle bénéficie, et soutient qu'elle l'a contestée devant l'autorité précédente, assurant que dans le cas d'espèce, le père profite du montant versé. La mère expose que la cour cantonale devait se fonder sur le coût global des enfants, selon les tabelles zurichoises. A tout le moins, la mère considère que l'autorité précédente devait procéder à une pondération du calcul effectué et que l'entretien aurait dû être fixé à un maximum de xxxx fr.</w:t>
      </w:r>
    </w:p>
    <w:p>
      <w:r>
        <w:rPr>
          <w:b/>
        </w:rPr>
        <w:t>E. 6.1</w:t>
      </w:r>
    </w:p>
    <w:p>
      <w:r>
        <w:t>A teneur de l' art. 285 al. 1 CC ,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 ATF 120 II 285 consid. 3a/cc p. 289 s.; arrêts 5A_234/2011 du 21 novembre 2011 consid. 4.4.1 et 5A_220/2010 du 20 août 2010 consid. 2.1). La loi ne prescrit pas toutefois de méthode de calcul particulière pour arrêter la contribution d'entretien ( ATF 128 III 411 consid. 3.2.2 p. 414 s.); sa fixation relève de l'appréciation du juge, qui jouit d'un large pouvoir d'appréciation ( ATF 127 III 136 consid. 3a p. 141; 120 II 285 consid. 3b/bb p. 291; arrêt 5A_507/2007 du 23 avril 2008 consid. 5.1) et applique les règles du droit et de l'équité ( art. 4 CC ; 127 III 136 consid.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p. 183; 130 III 571 consid. 4.3 p. 576; 128 III 161 consid. 2c/aa p. 162).</w:t>
      </w:r>
    </w:p>
    <w:p>
      <w:r>
        <w:rPr>
          <w:b/>
        </w:rPr>
        <w:t>E. 6.2</w:t>
      </w:r>
    </w:p>
    <w:p>
      <w:r>
        <w:t>Pour déterminer si la contribution alimentaire était adéquate au regard des ressources de la recourante, qui se prévalait " des particularités du présent cas " et de " ses nombreuses charges ", la juridiction précédente s'est référée à la pratique vaudoise qui part, en principe, d'un pourcentage du revenu mensuel ou de la capacité de gain du débirentier; elle a ainsi considéré que la contribution d'entretien fixée par le premier juge, qui correspondait à 30% du revenu net de la recourante (xxxx fr. par mois), hors allocations familiales, était correct, car si l'on employait la méthode dite "du minimum vital", la contribution d'entretien devrait être fixée à xxxx fr., à savoir un montant supérieur que celui auquel la mère a été astreinte. Selon la jurisprudence, la méthode abstraite dite "des pourcentages", qui consiste, en présence de revenus moyens, à calculer la contribution d'entretien sur la base d'un pourcentage de ce revenu - 30 à 35% pour trois enfants - n'enfreint pas le droit fédéral, pour autant que la pension reste en rapport avec le niveau de vie et la capacité contributive du débiteur ( ATF 116 II 110 consid. 3a p. 112; arrêt 5A_178/2008 du 23 avril 2008 consid. 3.3 et les références). En fixant une proportion dans la fourchette basse des sommes acceptées pour l'entretien de trois enfants - alors même que la débirentière dispose d'un revenu net supérieur à la moyenne - correspondant à un montant moins élevé que ce qui aurait été fixé en application de la méthode du minimum vital élargi avec répartition de l'excédent, les juges cantonaux n'ont à tout le moins pas excédé leur marge d'appréciation. Le grief d'arbitraire ( art. 9 Cst. ) doit être rejeté.</w:t>
      </w:r>
    </w:p>
    <w:p>
      <w:r>
        <w:rPr>
          <w:b/>
        </w:rPr>
        <w:t>E. 7</w:t>
      </w:r>
    </w:p>
    <w:p>
      <w:r>
        <w:t>Vu ce qui précède, le recours doit être rejeté dans la mesure de sa recevabilité. La recourante, dont les deux requêtes d'effet suspensif ont été rejetées et qui succombe au fond, supportera les frais judiciaires ( art. 66 al. 1 LTF ). Elle versera une indemnité de dépens réduite à l'intimé qui n'a pas été invité à déposer de réponse sur le fond, mais a déposé des observations sur la première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