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5A_67/2020 vom 10. August 2020</w:t>
      </w:r>
    </w:p>
    <w:p>
      <w:r>
        <w:t>Bundesgericht, 2020-08-10, FR</w:t>
      </w:r>
    </w:p>
    <w:p>
      <w:r>
        <w:rPr>
          <w:b/>
        </w:rPr>
        <w:t xml:space="preserve">Quelle: </w:t>
      </w:r>
      <w:r>
        <w:t>https://mcp.opencaselaw.ch/entscheid/bger_5A_67_2020</w:t>
      </w:r>
    </w:p>
    <w:p>
      <w:r>
        <w:t>FR: TF 5A_67/2020 du 10 août 2020</w:t>
      </w:r>
    </w:p>
    <w:p>
      <w:r>
        <w:t>IT: TF 5A_67/2020 del 10 agosto 2020</w:t>
      </w:r>
    </w:p>
    <w:p>
      <w:pPr>
        <w:pStyle w:val="Heading2"/>
      </w:pPr>
      <w:r>
        <w:t>Erwägungen</w:t>
      </w:r>
    </w:p>
    <w:p>
      <w:r>
        <w:rPr>
          <w:b/>
        </w:rPr>
        <w:t>E. 1</w:t>
      </w:r>
    </w:p>
    <w:p>
      <w:r>
        <w:t>Le recours a été déposé en temps utile ( art. 100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succombé devant la juridiction précédente, a en outre qualité pour recourir ( art. 76 al. 1 let. a et b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arrêts 5A_405/2019 du 24 février 2020 consid. 3.2; 5A_605/2018 du 7 décembre 2018 consid. 5.2).</w:t>
      </w:r>
    </w:p>
    <w:p>
      <w:r>
        <w:rPr>
          <w:b/>
        </w:rPr>
        <w:t>E. 3</w:t>
      </w:r>
    </w:p>
    <w:p>
      <w:r>
        <w:t>Le recourant fait tout d'abord grief à la cour cantonale d'avoir violé l' art. 317 al. 1 CPC .</w:t>
      </w:r>
    </w:p>
    <w:p>
      <w:r>
        <w:rPr>
          <w:b/>
        </w:rPr>
        <w:t>E. 3.1</w:t>
      </w:r>
    </w:p>
    <w:p>
      <w:r>
        <w:t>En appel, l'intimée a produit cinq pièces, dont le recourant a contesté la recevabilité. La cour cantonale les a néanmoins déclarées recevables au motif que la cause concernait des enfants mineurs. Elle a notamment tenu compte de ces pièces dans les charges de l'intimée, lesquelles ont été utiles non seulement pour la fixation des contributions d'entretien en faveur des enfants, mais également pour celle en faveur de l'intimée.</w:t>
      </w:r>
    </w:p>
    <w:p>
      <w:r>
        <w:rPr>
          <w:b/>
        </w:rPr>
        <w:t>E. 3.2</w:t>
      </w:r>
    </w:p>
    <w:p>
      <w:r>
        <w:t>Le recourant soutient que les cinq pièces produites en appel l'ont été tardivement et que, si elles étaient effectivement recevables concernant les questions liées aux enfants, elles ne l'étaient en revanche pas pour fixer la contribution d'entretien due à l'épouse, soumise à la maxime des débats. Plus concrètement, le recourant reproche aux juges cantonaux d'avoir pris en compte dans les charges de l'intimée des frais médicaux mensuels de 62 fr., ressortant des pièces nouvellement produites.</w:t>
      </w:r>
    </w:p>
    <w:p>
      <w:r>
        <w:rPr>
          <w:b/>
        </w:rPr>
        <w:t>E. 3.3.1</w:t>
      </w:r>
    </w:p>
    <w:p>
      <w:r>
        <w:t>Aux termes de l' art. 277 al. 1 CPC , la maxime des débats s'applique à la procédure concernant le régime matrimonial et les contributions d'entretien après le divorce. L' art. 296 al. 1 CPC prévoit néanmoins l'application de la maxime inquisitoire illimitée concernant les questions relatives aux enfants dans les affaires de droit de la famille (arrêts 5A_635/2018 du 14 janvier 2019 consid. 5.3; 5A_855/2017 du 11 avril 2018 consid. 4.3.2). Dans le cadre de cette maxime, le juge n'est lié ni par les faits allégués ni par les faits admis ( ATF 128 III 411 consid. 3.2.1; arrêts 5A_245/2019 du 1er juillet 2019 consid. 3.2.1; 5A_31/2014 du 11 juillet 2014 consid. 3.3).</w:t>
      </w:r>
    </w:p>
    <w:p>
      <w:r>
        <w:t>L' 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 art. 317 al. 1 CPC sont applicables même lorsque la cause est soumise à la maxime inquisitoire simple ou sociale ( ATF 142 III 413 consid. 2.2.2; 138 III 625 consid. 2.2.). En revanche, lorsque la procédure est soumise à la maxime inquisitoire illimitée ( art. 296 al. 1 CPC ), les parties peuvent présenter des nova en appel même si les conditions de l' art. 317 al. 1 CPC ne sont pas réunies ( ATF 144 III 349 consid. 4.2.1; arrêts 5A_763/2018 du 1er juillet 2019 consid. 2.1.3.1; 5A_685/2018 du 15 mai 2019 consid. 3.1).</w:t>
      </w:r>
    </w:p>
    <w:p>
      <w:r>
        <w:rPr>
          <w:b/>
        </w:rPr>
        <w:t>E. 3.3.2</w:t>
      </w:r>
    </w:p>
    <w:p>
      <w:r>
        <w:t>Les faits établis en suivant la maxime inquisitoire illimitée, applicable à l'entretien de l'enfant, peuvent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la contribution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 ATF 128 III 411 consid. 3.2.2; 118 II 93 consid. 1a; arrêts 5A_164/2019 du 20 mai 2020 consid. 5.2.4, destiné à la publication; 5A_245/2019 du 1er juillet 2019; 5A_475/2011 du 12 décembre 2011 consid. 6.2.1; 5A_361/2011 du 7 décembre 2011 consid. 5.3.2; Tappy, in Commentaire romand, Code de procédure civile, 2e éd. 2019, n° 26 ad art. 277 CPC ). Il convient dès lors d'admettre que, même dans le cas où les conditions de l' art. 317 al. 1 CPC ne sont pas réunies, les faits et moyens de preuve nouveaux admis en appel pour des questions relatives aux enfants doivent également être pris en compte pour déterminer la contribution d'entretien du conjoint, dans la mesure où celle-ci est aussi litigieuse en deuxième instance (dans ce sens: OGer ZH, 30 juillet 2019, LY190018, consid. II.4 et les arrêts cités par Engler, Zivilprozessrechtliche Fragestellungen in der familienrechtlichen Gerichtspraxis, in RSJ 110/2014 p. 121, p. 126 nbp 49).</w:t>
      </w:r>
    </w:p>
    <w:p>
      <w:r>
        <w:rPr>
          <w:b/>
        </w:rPr>
        <w:t>E. 3.4</w:t>
      </w:r>
    </w:p>
    <w:p>
      <w:r>
        <w:t>En l'espèce, les charges mensuelles dans lesquelles sont inclus les frais médicaux litigieux permettent d'arrêter le disponible mensuel de l'intimée, qui est ensuite pris en considération pour arrêter les contributions tant des enfants que de l'ex-épouse. Dans ces circonstances et dès lors que la contribution d'entretien de l'ex-épouse était litigieuse en appel, on ne saurait reprocher aux juges cantonaux d'avoir tenu compte de l'état de fait corrigé en deuxième instance pour calculer non seulement la contribution en faveur des enfants, mais également celle de l'ex-épouse.</w:t>
      </w:r>
    </w:p>
    <w:p>
      <w:r>
        <w:t>Il s'ensuit que le grief du recourant doit être rejeté.</w:t>
      </w:r>
    </w:p>
    <w:p>
      <w:r>
        <w:rPr>
          <w:b/>
        </w:rPr>
        <w:t>E. 4</w:t>
      </w:r>
    </w:p>
    <w:p>
      <w:r>
        <w:t>Le recourant se prévaut de la violation de la maxime des débats ( art. 55 al. 1 CPC ) dans la détermination des impôts de l'intimée.</w:t>
      </w:r>
    </w:p>
    <w:p>
      <w:r>
        <w:rPr>
          <w:b/>
        </w:rPr>
        <w:t>E. 4.1</w:t>
      </w:r>
    </w:p>
    <w:p>
      <w:r>
        <w:t>La Cour de justice a retenu que la charge fiscale de l'intimée devait être actualisée afin de tenir compte de son nouvel emploi et l'a estimée à 219 fr. par mois, en se basant sur le simulateur fiscal en ligne disponible sur le site internet de l'Administration fédérale des contributions.</w:t>
      </w:r>
    </w:p>
    <w:p>
      <w:r>
        <w:rPr>
          <w:b/>
        </w:rPr>
        <w:t>E. 4.2</w:t>
      </w:r>
    </w:p>
    <w:p>
      <w:r>
        <w:t>Le recourant relève que, dans le cadre de son mémoire d'appel, l'intimée a allégué une charge fiscale de 330 fr. et qu'elle a offert comme moyen de preuve une facture d'acomptes d'impôts 2019, laquelle ne ferait toutefois état d'aucun montant à sa charge et ne démontrerait aucunement qu'elle s'acquitterait effectivement de ses impôts. Par ailleurs, les acomptes en question ne refléteraient pas la charge fiscale réelle de l'intimée sur la base de son nouveau revenu et des nouvelles pensions alimentaires. Selon le recourant, aucune charge d'impôt n'aurait dû être retenue lors de la fixation d'une éventuelle contribution d'entretien post-divorce et la cour cantonale aurait favorisé l'intimée de manière inadmissible en procédant d'office au calcul de sa charge fiscale.</w:t>
      </w:r>
    </w:p>
    <w:p>
      <w:r>
        <w:rPr>
          <w:b/>
        </w:rPr>
        <w:t>E. 4.3</w:t>
      </w:r>
    </w:p>
    <w:p>
      <w:r>
        <w:t>A l'instar de ses frais médicaux, les impôts de l'intimée sont compris dans son minimum vital et permettent d'arrêter son disponible mensuel, dont la détermination est nécessaire pour le calcul de la contribution d'entretien due en faveur des enfants. Ainsi, dès lors qu'en application de la maxime inquisitoire illimitée, la charge fiscale de l'intimée devait être déterminée d'office concernant l'entretien des enfants, les juges cantonaux pouvaient également en tenir compte pour fixer la contribution due en faveur de l'intimée (cf.</w:t>
      </w:r>
    </w:p>
    <w:p>
      <w:r>
        <w:t>supra consid. 3.4). Pour le surplus, le recourant ne conteste pas - et</w:t>
      </w:r>
    </w:p>
    <w:p>
      <w:r>
        <w:t>a fortiori n'établit pas - que la méthode employée par l'autorité cantonale pour calculer la charge fiscale de l'intimée aurait conduit à établir un montant manifestement inexact (cf.</w:t>
      </w:r>
    </w:p>
    <w:p>
      <w:r>
        <w:t>supra consid. 2.2), de sorte qu'autant que recevable, son grief doit être rejeté.</w:t>
      </w:r>
    </w:p>
    <w:p>
      <w:r>
        <w:rPr>
          <w:b/>
        </w:rPr>
        <w:t>E. 5</w:t>
      </w:r>
    </w:p>
    <w:p>
      <w:r>
        <w:t>Le recourant invoque une violation de l' art. 125 CC et se plaint de la méthode de calcul appliquée pour établir le montant des contributions d'entretien en faveur de l'intimée (cf.</w:t>
      </w:r>
    </w:p>
    <w:p>
      <w:r>
        <w:t>infra consid. 5.3). Il reproche par ailleurs à la cour cantonale d'avoir arrêté une contribution d'entretien en faveur de l'intimée, alors même que celle-ci n'avait ni allégué ni établi son entretien convenable durant le mariage et qu'elle disposait d'un revenu suffisant pour assurer seule la couverture de ses charges incompressibles mensuelles (cf.</w:t>
      </w:r>
    </w:p>
    <w:p>
      <w:r>
        <w:t>infra consid. 5.4).</w:t>
      </w:r>
    </w:p>
    <w:p>
      <w:r>
        <w:rPr>
          <w:b/>
        </w:rPr>
        <w:t>E. 5.1</w:t>
      </w:r>
    </w:p>
    <w:p>
      <w:r>
        <w:t>La juridiction précédente a considéré que, dès lors que la situation financière de l'ex-épouse avait concrètement et durablement été influencée par le mariage, il se justifiait de lui allouer une contribution mensuelle d'entretien, dont la limite supérieure devait correspondre au standard de vie supérieur choisi par les parties durant la vie commune. Après avoir arrêté le disponible mensuel de l'ex-époux à 4'684 fr. et celui de l'ex-épouse à 665 fr., la cour cantonale a constaté qu'il existait une disparité importante, à laquelle il convenait de remédier par le partage du disponible du couple entre les parties - comme l'avait fait le premier juge sans que cette méthode ne soit remise en cause en appel -, afin d'assurer le maintien du standard de vie antérieur. Les juges cantonaux ont ainsi fait droit aux conclusions de l'ex-épouse en versement d'une contribution d'entretien de 2'000 fr. par mois, depuis le 1er juin 2019, soit le premier jour du mois suivant la date d'entrée en force du principe du divorce le 13 mai 2019. Ils ont encore retenu qu'il pourrait être attendu de l'ex-épouse qu'elle travaille à 100 % dès le 1er janvier 2024, pour un revenu mensuel net de l'ordre d'environ 6'000 fr., ce qui lui laissait un disponible mensuel de 2'138 fr. et permettait de réduire la contribution d'entretien due à 1'270 fr.</w:t>
      </w:r>
    </w:p>
    <w:p>
      <w:r>
        <w:rPr>
          <w:b/>
        </w:rPr>
        <w:t>E. 5.2</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137 III 102 consid. 4.1).</w:t>
      </w:r>
    </w:p>
    <w:p>
      <w:r>
        <w:t>La loi n'impose pas de mode de calcul particulier pour fixer le montant de la contribution d'entretien de l'époux et les tribunaux jouissent d'un large pouvoir d'appréciation en la matière ( art. 4 CC ; ATF 144 III 481 consid. 4.1; 134 III 577 consid. 4).</w:t>
      </w:r>
    </w:p>
    <w:p>
      <w:r>
        <w:t>Selon la jurisprudence, en cas de situation financière favorable, dans laquelle les frais supplémentaires liés à l'existence de deux ménages séparés sont couverts,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 ATF 137 III 102 consid. 4.2.1.1; arrêt 5A_819/2017 du 20 mars 2018 consid. 8.1 et les autres références). La méthode du minimum vital avec répartition de l'excédent est également considérée comme conforme au droit fédéral en cas de situation financière moyenne et en principe tant que dure le mariage, pour autant qu'elle n'ait pas pour effet de faire bénéficier l'intéressé d'un niveau de vie supérieur à celui mené durant la vie commune (arrêts 5A_641/2019 du 30 juin 2020 consid. 3.1.1; 5A_587/2018 du 23 octobre 2018 consid. 3.1; 5A_861/2014 du 21 avril 2015 consid. 5).</w:t>
      </w:r>
    </w:p>
    <w:p>
      <w:r>
        <w:t>Le fait que l'entretien après divorce repose sur des principes différents de ceux prévalant pour l'entretien durant le mariage, n'empêche pas en soi d'appliquer la méthode du minimum vital avec partage de l'excédent, notamment dans le cas de mariages de longue durée, lorsque les conjoints sont organisés de manière classique et disposent de revenus moyens. Il faut toutefois apprécier chaque fois les circonstances du cas d'espèce et cette appréciation ne peut être remplacée par une appréciation mécanique du minimum vital ( ATF 134 III 577 consid. 3; arrêts 5A_641/2019 précité consid. 3.1.1; 5A_827/2010 du 13 octobre 2011 consid. 4.1).</w:t>
      </w:r>
    </w:p>
    <w:p>
      <w:r>
        <w:rPr>
          <w:b/>
        </w:rPr>
        <w:t>E. 5.3.1</w:t>
      </w:r>
    </w:p>
    <w:p>
      <w:r>
        <w:t>S'agissant de la méthode employée pour calculer la pension, le recourant s'en prend à la constatation de la cour cantonale selon laquelle il n'aurait pas contesté la méthode de répartition du disponible par moitié dans le cadre de la procédure d'appel. Il soutient s'être opposé au principe même d'une pension alimentaire en faveur de son ex-épouse dans le cadre de sa réponse à appel et appel joint, ce qui ne saurait en aucun cas aller de pair avec une acceptation de la méthode employée par les premiers juges. Le recourant fait valoir que ce serait la méthode de calcul du train de vie qui devrait s'appliquer, et non celle du minimum vital avec répartition du disponible par moitié. A cet égard, il relève que les parties se seraient réparties 100'000 fr. d'économies lors de la séparation, ce qui aurait dû conduire la cour cantonale à ne pas appliquer la méthode du minimum vital avec répartition du disponible par moitié.</w:t>
      </w:r>
    </w:p>
    <w:p>
      <w:r>
        <w:rPr>
          <w:b/>
        </w:rPr>
        <w:t>E. 5.3.2</w:t>
      </w:r>
    </w:p>
    <w:p>
      <w:r>
        <w:t>Lorsqu'en appel, l'époux se limite à conclure à être dispensé de tout versement d'une contribution d'entretien en faveur de l'autre époux, on ne saurait considérer que, ce faisant, il conteste également la méthode de calcul appliquée pour établir le montant des contributions dues (cf. arrêt 5A_405/2019 du 24 février 2020 let. B.a. et consid. 3).</w:t>
      </w:r>
    </w:p>
    <w:p>
      <w:r>
        <w:rPr>
          <w:b/>
        </w:rPr>
        <w:t>E. 5.3.3</w:t>
      </w:r>
    </w:p>
    <w:p>
      <w:r>
        <w:t>En appel, le recourant n'a formulé aucune critique au sujet du choix de la méthode de calcul employée par le premier juge. Il s'ensuit que, faute d'épuisement des instances cantonales, son grief relatif à la méthode applicable est irrecevable devant la Cour de céans (cf.</w:t>
      </w:r>
    </w:p>
    <w:p>
      <w:r>
        <w:t>supra consid. 2.3).</w:t>
      </w:r>
    </w:p>
    <w:p>
      <w:r>
        <w:t>Par surabondance, le recourant perd de vue que, selon la jurisprudence, c'est au débiteur de l'entretien qui fait valoir une quote-part d'épargne qu'il incombe d'alléguer celle-ci et d'en apporter la preuve ( ATF 140 III 485 consid. 3.3; arrêt 5A_358/2016 du 1er mai 2017 consid. 4.3.1). Or, le recourant ne prétend pas avoir allégué et établi en première instance que les époux disposaient d'une quote-part d'épargne et il est trop tard pour s'en prévaloir à ce stade. Par ailleurs, compte tenu de l'application de la maxime des débats (cf.</w:t>
      </w:r>
    </w:p>
    <w:p>
      <w:r>
        <w:t>supra consid. 3.3.1), il n'appartenait pas aux autorités cantonales de se fonder sur la liquidation du régime matrimonial pour retenir d'office l'existence d'économies durant le mariage.</w:t>
      </w:r>
    </w:p>
    <w:p>
      <w:r>
        <w:rPr>
          <w:b/>
        </w:rPr>
        <w:t>E. 5.4.1</w:t>
      </w:r>
    </w:p>
    <w:p>
      <w:r>
        <w:t>Le recourant se prévaut du principe d'indépendance économique des époux et fait valoir que, dans la mesure où le revenu de l'ex-épouse serait suffisant pour couvrir ses charges après divorce, elle serait en mesure de pourvoir elle-même à son entretien convenable. Selon le recourant, l'intimée n'aurait jamais allégué, et encore moins prouvé, que son train de vie était supérieur aux charges alléguées et retenues par les autorités de première instance et d'appel. Il indique que, d'une part, les premiers juges avaient relevé que si l'épouse avait allégué que le train de vie des parties pendant la vie commune était élevé, elle n'avait toutefois pas cherché à l'établir et que, d'autre part, ils avaient reconnu qu'ils n'étaient pas en mesure de déterminer quel était le niveau de vie des époux durant la vie commune ou à la fin de celle-ci. De l'avis du recourant, ce serait de manière arbitraire que l'arrêt entrepris éluderait le fait que l'intimée n'avait pas cherché à établir le train de vie des parties durant la vie commune et qu'il n'était pas possible de déterminer celui-ci. En définitive, l'intimée n'aurait pas démontré avoir eu un train de vie supérieur à ses charges alléguées et démontrées et, partant, la cour cantonale aurait dû considérer que son revenu mensuel de 4'527 fr. lui permettait d'assumer son entretien convenable, correspondant à ses charges de 3'862 fr. par mois.</w:t>
      </w:r>
    </w:p>
    <w:p>
      <w:r>
        <w:rPr>
          <w:b/>
        </w:rPr>
        <w:t>E. 5.4.2</w:t>
      </w:r>
    </w:p>
    <w:p>
      <w:r>
        <w:t>Lorsqu'il s'agit de fixer la contribution à l'entretien d'un conjoint dont la situation financière a été concrètement et durablement influencée par le mariage, l' art. 125 CC prescrit de procéder en trois étapes ( ATF 134 III 145 consid. 4; 134 III 577 consid. 3).</w:t>
      </w:r>
    </w:p>
    <w:p>
      <w:r>
        <w:t>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 ATF 141 III 465 consid. 3.1; 137 III 102 consid. 4.2.1.1; arrêt 5A_778/2018 du 23 août 2019 consid. 4.4, non publié aux ATF 145 III 474 ). La deuxième étape relative à l'application de l' art. 125 CC consiste à examiner dans quelle mesure chacun des époux peut financer lui-même l'entretien arrêté à l'étape précédente du raisonnement ( ATF 137 III 102 consid. 4.2.2.1; 134 III 145 consid. 4; 134 III 577 consid. 3).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137 III 102 consid. 4.2.3 et la référence citée). A ce stade, les critères de l' art. 129 al. 1 CC doivent être pris en considération, par analogie ( ATF 137 III 102 consid. 4.2.3; 134 III 145 consid. 4 et les arrêts cités; arrêt 5A_641/2019 du 30 juin 2020 consid. 4.1).</w:t>
      </w:r>
    </w:p>
    <w:p>
      <w:r>
        <w:t>Dans la mesure où, quelle que soit la méthode appliquée, la limite supérieure du droit à l'entretien correspond au montant nécessaire au maintien du train de vie mené jusqu'à la cessation de la vie commune, le juge ne peut s'épargner d'établir le train de vie du conjoint durant l'union afin de s'assurer que le montant alloué au titre de la contribution à son entretien ne lui permette pas de bénéficier d'un train de vie supérieur. Le Tribunal de céans a certes rendu une jurisprudence dont il ressort que, dans le cadre de l'application de la méthode du minimum vital, le niveau de vie antérieur est pris en compte de manière adéquate par le partage de l'excédent, de sorte que la vérification du train de vie n'est pas nécessaire (cf. arrêt 5A_861/2014 du 21 avril 2015 consid. 6). Cette jurisprudence s'entend toutefois en ce sens que la vie séparée aura le plus souvent pour effet d'engendrer un accroissement des charges nécessaires au maintien du train de vie durant l'union, de sorte qu'en partageant l'excédent disponible, on n'obtiendra que rarement un montant supérieur à celui nécessaire pour le maintien du train de vie antérieur. Il ne s'agit ainsi pas d'une règle absolue. Tel ne sera en particulier pas le cas lorsque - comme en l'espèce - l'un des ex-conjoints ou les deux augmentent sensiblement leurs revenus après la séparation (arrêt 5A_641/2019 du 30 juin 2020 consid. 4.4; cf. ég. arrêt 5A_24/2016 du 23 août 2016 consid. 4.1.2).</w:t>
      </w:r>
    </w:p>
    <w:p>
      <w:r>
        <w:rPr>
          <w:b/>
        </w:rPr>
        <w:t>E. 5.4.3</w:t>
      </w:r>
    </w:p>
    <w:p>
      <w:r>
        <w:t>En l'espèce, le recourant relève que les premiers juges ont indiqué qu'ils n'étaient pas en mesure de déterminer le niveau de vie des parties durant la vie commune, que l'épouse avait certes allégué mais n'avait pas prouvé. Partant de ce constat, le recourant critique l'arrêt querellé en faisant valoir que la cour cantonale aurait, de manière arbitraire, passé sous silence ce manquement de l'intimée, pourtant mis en exergue par le premier juge. Cela étant, le recourant méconnaît qu'il incombe au juge d'établir le train de vie des époux durant l'union, avant de pouvoir déterminer l'entretien convenable de l'époux. Par conséquent, en tant que le recourant ne soutient pas - ni</w:t>
      </w:r>
    </w:p>
    <w:p>
      <w:r>
        <w:t>a fortiori ne démontre - qu'il se serait plaint, en appel, de l'absence d'établissement du train de vie des parties par l'autorité de première instance, respectivement du défaut d'établissement de l'entretien convenable de l'intimée, son grief devant la Cour de céans est irrecevable (cf.</w:t>
      </w:r>
    </w:p>
    <w:p>
      <w:r>
        <w:t>supra consid. 2.3).</w:t>
      </w:r>
    </w:p>
    <w:p>
      <w:r>
        <w:rPr>
          <w:b/>
        </w:rPr>
        <w:t>E. 6</w:t>
      </w:r>
    </w:p>
    <w:p>
      <w:r>
        <w:t>Subsidiairement, le recourant soutient que, pour la période courant jusqu'au 18 décembre 2023, la contribution d'entretien de l'intimée devrait être recalculée en déduisant les frais médicaux et la charge fiscale de l'intimée tels que retenus par la cour cantonale. Cela ne saurait être admis, dès lors que les griefs relatifs aux charges en question ont été rejetés (cf.</w:t>
      </w:r>
    </w:p>
    <w:p>
      <w:r>
        <w:t>supra consid. 3 et 4).</w:t>
      </w:r>
    </w:p>
    <w:p>
      <w:r>
        <w:rPr>
          <w:b/>
        </w:rPr>
        <w:t>E. 7.1</w:t>
      </w:r>
    </w:p>
    <w:p>
      <w:r>
        <w:t>Toujours à titre subsidiaire, le recourant conclut à ce que, dès le 18 décembre 2023, la contribution d'entretien en faveur de l'intimée soit réduite à 491 fr. par mois, jusqu'à ce qu'il atteigne l'âge de la retraite.</w:t>
      </w:r>
    </w:p>
    <w:p>
      <w:r>
        <w:rPr>
          <w:b/>
        </w:rPr>
        <w:t>E. 7.2</w:t>
      </w:r>
    </w:p>
    <w:p>
      <w:r>
        <w:t>Dans l'arrêt entrepris, les juges cantonaux ont imputé à l'intimée un revenu hypothétique de 6'000 fr. dès le 1er janvier 2024, soit dès le mois suivant les 16 ans de l'enfant D.________, ce revenu lui laissant un disponible mensuel de 2'138 fr. et permettant, après un calcul basé sur le disponible de chacun des époux, de réduire la contribution d'entretien à 1'270 fr.</w:t>
      </w:r>
    </w:p>
    <w:p>
      <w:r>
        <w:rPr>
          <w:b/>
        </w:rPr>
        <w:t>E. 7.3</w:t>
      </w:r>
    </w:p>
    <w:p>
      <w:r>
        <w:t>Le recourant soutient que le montant nécessaire au maintien du train de vie de l'intimée - à savoir l'entretien convenable de celle-ci - aurait été fixé à 6'527 fr. par la cour cantonale (4'527 fr. de revenus à 75 % + 2'000 fr. de contribution d'entretien) et qu'il devrait correspondre à la limite supérieure de l'entretien de l'intimée. Ainsi, au vu du revenu hypothétique de 6'036 fr. retenu par l'autorité cantonale, seule la différence de 419 fr. entre le train de vie et le revenu hypothétique devrait être admise à titre de contribution d'entretien de l'intimée et admettre un montant supérieur reviendrait, selon le recourant, à faire bénéficier l'intimée d'un train de vie supérieur à celui vécu durant le mariage.</w:t>
      </w:r>
    </w:p>
    <w:p>
      <w:r>
        <w:rPr>
          <w:b/>
        </w:rPr>
        <w:t>E. 7.4</w:t>
      </w:r>
    </w:p>
    <w:p>
      <w:r>
        <w:t>En l'espèce, on ignore si la contribution d'entretien de 2'000 fr., cumulée aux 4'527 fr. de revenus de l'intimée, est inférieure ou supérieure au montant de son entretien convenable, qui n'a pas été déterminé. Cela étant, faute pour le recourant de s'être plaint de cette lacune en appel (cf.</w:t>
      </w:r>
    </w:p>
    <w:p>
      <w:r>
        <w:t>supra consid. 5.4.3), il n'est à ce stade plus possible d'y remédier et on ne peut dès lors pas non plus affirmer que la contribution d'entretien arrêtée dès le 1er janvier 2024 à 1'270 fr., cumulée à un revenu hypothétique de 6'000 fr., excéderait l'entretien convenable de l'intimée.</w:t>
      </w:r>
    </w:p>
    <w:p>
      <w:r>
        <w:t>Par voie de conséquence, le grief du recourant doit être rejeté dans la mesure de sa recevabilité.</w:t>
      </w:r>
    </w:p>
    <w:p>
      <w:r>
        <w:rPr>
          <w:b/>
        </w:rPr>
        <w:t>E. 8</w:t>
      </w:r>
    </w:p>
    <w:p>
      <w:r>
        <w:t>En définitive, l'arrêt querellé doit être confirmé et le recours rejeté, dans la mesure de sa recevabilité. Le recourant, qui succombe, supportera les frais de la procédure ( art. 66 al. 1 LTF ). Il n'y a pas lieu d'octroyer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