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679/2017 vom 14. September 2017</w:t>
      </w:r>
    </w:p>
    <w:p>
      <w:r>
        <w:t>Bundesgericht, 2017-09-14, DE</w:t>
      </w:r>
    </w:p>
    <w:p>
      <w:r>
        <w:rPr>
          <w:b/>
        </w:rPr>
        <w:t xml:space="preserve">Quelle: </w:t>
      </w:r>
      <w:r>
        <w:t>https://mcp.opencaselaw.ch/entscheid/bger_5A_679_2017</w:t>
      </w:r>
    </w:p>
    <w:p>
      <w:r>
        <w:t>FR: TF 5A 679/2017 du 14 septembre 2017</w:t>
      </w:r>
    </w:p>
    <w:p>
      <w:r>
        <w:t>IT: TF 5A 679/2017 del 14 settembre 2017</w:t>
      </w:r>
    </w:p>
    <w:p>
      <w:pPr>
        <w:pStyle w:val="Heading2"/>
      </w:pPr>
      <w:r>
        <w:t>Regeste</w:t>
      </w:r>
    </w:p>
    <w:p>
      <w:r>
        <w:t>Vertretungsbeistandschaft | Familienrecht</w:t>
      </w:r>
    </w:p>
    <w:p>
      <w:pPr>
        <w:pStyle w:val="Heading2"/>
      </w:pPr>
      <w:r>
        <w:t>Erwägungen</w:t>
      </w:r>
    </w:p>
    <w:p>
      <w:r>
        <w:rPr>
          <w:b/>
        </w:rPr>
        <w:t>E. 1</w:t>
      </w:r>
    </w:p>
    <w:p>
      <w:r>
        <w:t>Angefochten ist der kantonal letztinstanzliche Entscheid betreffend eine Erwachsenenschutzmassnahme; die Beschwerde in Zivilsachen steht offen (Art. 72 Abs. 2 lit. b Ziff. 6,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 Die Eingabe enthält kein eigentliches Rechtsbegehren, sondern einzig den Text: "Da zuwenig Zeit: Rot markiert mit Text Konnte nicht genaueres schreiben da Brief, zu spät ankam! Div. Gründe!" Beigelegt ist der angefochtene Entscheid, auf welchem gewisse handschriftliche Vermerke angebracht sind. Aus dem Gesamtkontext geht hervor, dass A.________ mit der angeordneten Massnahme nicht einverstanden ist. In der Sache ist jedoch nicht ersichtlich (geschweige denn dargetan), inwiefern das Obergericht gegen Recht verstossen haben könnte. Im angefochtenen Entscheid wird ausführlich der Schwächezustand (komplett verwahrloste Behausung; chronische Depression und Angststörung mit akuter Suizidalität; Medikamentenabhängigkeit bzw. -missbrauch; Mangelernährung; gesundheitliche Probleme; Brandgefahr; Unvermögen zur Besorgung der administrativen und finanziellen Belange, insbesondere der Miete und der Krankenkasse) sowie die fehlende Einsicht bezüglich des Schwächezustandes sowie die konsequente Ablehnung jeglicher Hilfestellung und die Weigerung gegenüber einer befriedigenden Wohnform dargestellt. Ebenso wird die weiterhin anstehende Suche nach geeigneten Wohngelegenheiten sowie die unabdingbare Hilfe in den Bereichen Administration und Finanzen (auch im Zusammenhang mit dem geerbten Vermögen) dargestellt. Die angeordnete Beistandschaft erscheint deshalb in der Kaskade der erwachsenenschutzrechtlichen Massnahmen als notwendig und verhältnismässig, und etwas anderes tut der Beschwerdeführer nicht dar.</w:t>
      </w:r>
    </w:p>
    <w:p>
      <w:r>
        <w:rPr>
          <w:b/>
        </w:rPr>
        <w:t>E. 3</w:t>
      </w:r>
    </w:p>
    <w:p>
      <w:r>
        <w:t>Nach dem Gesagten enthält die Beschwerde offensichtlich keine hinreichende Begründung,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