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5A_677/2018 vom 6. September 2018</w:t>
      </w:r>
    </w:p>
    <w:p>
      <w:r>
        <w:t>Bundesgericht, 2018-09-06, FR</w:t>
      </w:r>
    </w:p>
    <w:p>
      <w:r>
        <w:rPr>
          <w:b/>
        </w:rPr>
        <w:t xml:space="preserve">Quelle: </w:t>
      </w:r>
      <w:r>
        <w:t>https://mcp.opencaselaw.ch/entscheid/bger_5A_677_2018</w:t>
      </w:r>
    </w:p>
    <w:p>
      <w:r>
        <w:t>FR: TF 5A_677/2018 du 6 septembre 2018</w:t>
      </w:r>
    </w:p>
    <w:p>
      <w:r>
        <w:t>IT: TF 5A_677/2018 del 6 settembre 2018</w:t>
      </w:r>
    </w:p>
    <w:p>
      <w:pPr>
        <w:pStyle w:val="Heading2"/>
      </w:pPr>
      <w:r>
        <w:t>Erwägungen</w:t>
      </w:r>
    </w:p>
    <w:p>
      <w:r>
        <w:rPr>
          <w:b/>
        </w:rPr>
        <w:t>E. 1</w:t>
      </w:r>
    </w:p>
    <w:p>
      <w:r>
        <w:t>Par arrêt du 13 juin 2018, la Cour d'appel civile du Tribunal cantonal du canton de Neuchâtel a rejeté l'appel interjeté le 2 mars 2018 par A.A.________ et confirmé le jugement rendu le 26 janvier 2018 par le Tribunal régional des Montagnes et du Val-de-Ruz rejetant la demande déposée le 20 mars 2017 par A.A.________ en modification du jugement de divorce, tendant à la réduction de la contribution d'entretien en faveur de ses enfants mineurs.</w:t>
      </w:r>
    </w:p>
    <w:p>
      <w:r>
        <w:t>En substance, la Cour d'appel civile du Tribunal cantonal neuchâtelois a considéré que l'appel de A.A.________ ne visait pas une adaptation du montant des contributions d'entretien suite à la survenance de faits nouveaux, mais la correction du jugement de divorce du 11 novembre 2015. Elle a en outre relevé que le minimum vital du débirentier était préservé.</w:t>
      </w:r>
    </w:p>
    <w:p>
      <w:r>
        <w:rPr>
          <w:b/>
        </w:rPr>
        <w:t>E. 2</w:t>
      </w:r>
    </w:p>
    <w:p>
      <w:r>
        <w:t>Par acte du 20 août 2018, A.A.________ exerce un recours en matière civile au Tribunal fédéral, sollicitant au préalable le bénéfice de l'assistance judiciaire pour la procédure fédérale.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Lorsque le litige ou l'un des aspects de celui-ci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citées; arrêt 5A_766/2008 du 4 février 2009 consid. 2.2 s., publié</w:t>
      </w:r>
    </w:p>
    <w:p>
      <w:r>
        <w:t>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le recourant se limite à prendre une conclusion cassatoire et en renvoi de la cause à l'autorité de première instance. Dès lors que le litige porte sur la modification du montant de l'entretien de ses deux filles mineures, le recourant - assisté d'un avocat - était à l'évidence en mesure de prendre des conclusions réformatoires, de surcroît chiffrées. En outre, à la lecture de son acte de recours, les modifications qu'il souhaiterait voir prononcées quant au montant de l'entretien de ses filles n'est nulle part évoqué. Le rapprochement de l'arrêt déféré - dont le dispositif rejette l'appel sans modifier les contributions d'entretien - et l'acte de recours - qui ne contient aucune donnée chiffrée - ne permet pas de comprendre à quel montant d'entretien le recourant entend conclure. Au demeurant, le recourant n'explique pas les motifs qui justifieraient exceptionnellement un renvoi de la cause, étant précisé qu'il ne soulève qu'un grief de violation de l' art. 13c Tit. fin. CC , mais aucun grief formel. Par conséquent, le recours est d'emblée irrecevable.</w:t>
      </w:r>
    </w:p>
    <w:p>
      <w:r>
        <w:rPr>
          <w:b/>
        </w:rPr>
        <w:t>E. 4</w:t>
      </w:r>
    </w:p>
    <w:p>
      <w:r>
        <w:t>Dans ces circonstances, le recours, manifestement irrecevable, doit être traité selon la procédure simplifiée prévue à l' art. 108 al. 1 let. a LTF , ce qui rend sans objet la demande d'assistance judiciaire déposée par le recourant.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