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5A_677/2010 vom 11. November 2010</w:t>
      </w:r>
    </w:p>
    <w:p>
      <w:r>
        <w:t>Bundesgericht, 2010-11-11, DE</w:t>
      </w:r>
    </w:p>
    <w:p>
      <w:r>
        <w:rPr>
          <w:b/>
        </w:rPr>
        <w:t xml:space="preserve">Quelle: </w:t>
      </w:r>
      <w:r>
        <w:t>https://mcp.opencaselaw.ch/entscheid/bger_5A_677_2010</w:t>
      </w:r>
    </w:p>
    <w:p>
      <w:r>
        <w:t>FR: TF 5A_677/2010 du 11 novembre 2010</w:t>
      </w:r>
    </w:p>
    <w:p>
      <w:r>
        <w:t>IT: TF 5A_677/2010 del 11 novembre 2010</w:t>
      </w:r>
    </w:p>
    <w:p>
      <w:pPr>
        <w:pStyle w:val="Heading2"/>
      </w:pPr>
      <w:r>
        <w:t>Erwägungen</w:t>
      </w:r>
    </w:p>
    <w:p>
      <w:r>
        <w:rPr>
          <w:b/>
        </w:rPr>
        <w:t>E. 1</w:t>
      </w:r>
    </w:p>
    <w:p>
      <w:r>
        <w:t>Angefochten ist ein kantonal letztinstanzlicher Endentscheid in Zivilsachen mit Fr. 30'000.-- übersteigendem Streitwert; die Beschwerde in Zivilsachen ist somit gegeben (Art. 51 Abs. 1 lit. a und Abs. 4, Art. 72 Abs. 1, Art. 74 Abs. 1 lit. b, Art. 75 Abs. 1 und Art. 90 BGG ).</w:t>
      </w:r>
    </w:p>
    <w:p>
      <w:r>
        <w:rPr>
          <w:b/>
        </w:rPr>
        <w:t>E. 2</w:t>
      </w:r>
    </w:p>
    <w:p>
      <w:r>
        <w:t>In erster Linie beantragen die Beschwerdeführer, das Urteil "im Punkt der Berechnung des Einkommens des Beschwerdegegners" aufzuheben. Dieses Begehren stellt eine verkappte Sachverhaltsrüge dar, weshalb es von vornherein unzulässig und darauf nicht einzutreten ist.</w:t>
      </w:r>
    </w:p>
    <w:p>
      <w:r>
        <w:t>Demgegenüber erweist sich das Eventualbegehren, mit welchem die Beschwerdeführer im Ergebnis die Abweisung der Abänderungsklage des Beschwerdegegners verlangen, als zulässig.</w:t>
      </w:r>
    </w:p>
    <w:p>
      <w:r>
        <w:rPr>
          <w:b/>
        </w:rPr>
        <w:t>E. 3.1</w:t>
      </w:r>
    </w:p>
    <w:p>
      <w:r>
        <w:t>Das Bundesgericht prüft nur die formell ausreichend begründeten Rügen ( BGE 134 III 102 E. 1.1 S. 104 f.; s. auch Urteil 5A_92/2008 vom 25. Juni 2008 E. 2.3). Nach Art. 42 Abs. 2 BGG ist in der Begründung in gedrängter Form darzulegen, inwiefern der angefochtene Akt Recht verletzt. So ist es unerlässlich, dass der Beschwerdeführer in seiner Beschwerde auf die Begründung des angefochtenen Entscheids eingeht und im Einzelnen aufzeigt, worin eine Verletzung von Bundesrecht liegt; er soll in der Beschwerdeschrift mit seiner Kritik an den als rechtsfehlerhaft erachteten Erwägungen der Vorinstanz ansetzen (vgl. BGE 121 III 397 E. 2a S. 400; Urteil 4A_22/2008 vom 10. April 2008 E. 1). Allgemein gehaltene Einwände, die ohne aufgezeigten oder erkennbaren Zusammenhang mit bestimmten Entscheidungsgründen vorgebracht werden, genügen nicht ( BGE 116 II 745 E. 3 S. 749). Auch blosse Verweise auf kantonale Akten vermögen nach konstanter Rechtsprechung die Begründung in der Rechtsschrift selbst nicht zu ersetzen ( BGE 131 III 384 E. 2. 3 S. 387 f.; 126 III 198 E. 1d S. 201).</w:t>
      </w:r>
    </w:p>
    <w:p>
      <w:r>
        <w:t>Für die Unterhaltsfestsetzung als solche wie auch im Abänderungsverfahren gilt es zudem zu beachten, dass der Richter in verschiedener Hinsicht auf sein Ermessen verwiesen ist ( Art. 4 ZGB ; BGE 127 III 136 E. 3a S. 141; Urteil 5A_581/2009 vom 18. November 2009 E. 5) und das Bundesgericht bei der Überprüfung solcher Entscheide eine gewisse Zurückhaltung übt: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Im Rahmen seiner Begründungspflicht hat der Beschwerdeführer aufzuzeigen, weshalb die Voraussetzungen für einen Eingriff in einen Ermessensentscheid erfüllt sein sollen.</w:t>
      </w:r>
    </w:p>
    <w:p>
      <w:r>
        <w:rPr>
          <w:b/>
        </w:rPr>
        <w:t>E. 3.2</w:t>
      </w:r>
    </w:p>
    <w:p>
      <w:r>
        <w:t>Das Obergericht kommt gestützt auf eine detaillierte Prüfung der wirtschaftlichen Verhältnisse des Beschwerdegegners zum Schluss, das massgebende Einkommen des Beschwerdegegners habe sich im Vergleich zum Einkommen, von dem das Bezirksgericht Innsbruck im Jahr 2002 ausgegangen ist, um 19.5 bis 44 Prozent reduziert. Aus diesem Grund rechtfertige sich grundsätzlich eine Abänderung der Unterhaltsbeiträge. Eine Herabsetzung sei jedoch nicht für die ganze Zeitdauer seit 1. Januar 2003 angezeigt, da es dem Beschwerdegegner unter Wahrung seines Existenzminimums in einzelnen Zeitabschnitten trotzdem möglich sei, die ursprünglich festgesetzten Unterhaltsbeiträge zu bezahlen.</w:t>
      </w:r>
    </w:p>
    <w:p>
      <w:r>
        <w:rPr>
          <w:b/>
        </w:rPr>
        <w:t>E. 3.3</w:t>
      </w:r>
    </w:p>
    <w:p>
      <w:r>
        <w:t>Über ca. 135 Seiten führen die Beschwerdeführer aus, inwiefern das Obergericht bei der Ermittlung des Einkommens bzw. bei der Feststellung, ob und um wie viel das Nettoeinkommen des Beschwerdegegners in den Jahren 2003 bis 2010 und damit der Überschuss über dessen Existenzminimum zu- bzw. abgenommen hat, in Willkür verfallen sein soll. Auf den Seiten 139 und 140 der Beschwerde fassen sie ihre Ausführungen zusammen und folgern: "Die Abweisung der Klage des Beschwerdegegners wäre gerechtfertigt."</w:t>
      </w:r>
    </w:p>
    <w:p>
      <w:r>
        <w:t>Damit kommen die Beschwerdeführer den dargelegten Begründungsanforderungen (s. E. 3.1) offensichtlich nicht nach. Sie befassen sich weder mit den gesetzlichen Abänderungsvoraussetzungen noch zeigen sie im Einzelnen auf, weshalb das Obergericht bei der Feststellung der Einkommens- und Vermögensverhältnisse des Beschwerdegegners von dem ihm zustehenden Ermessen falschen Gebrauch gemacht und die Unterhaltsbeiträge zu Unrecht herabgesetzt haben soll. Vielmehr beschränken sich die Beschwerdeführer über weite Strecken mit blossen Verweisen auf frühere Eingaben, Entscheide und Aktenstücke, die sie in ihrem Schriftsatz in grossem Umfang reproduzieren, mit deren Inhalt sie sich jedoch nicht näher auseinandersetzen. Daher kann auf die Beschwerde nicht eingetreten werden.</w:t>
      </w:r>
    </w:p>
    <w:p>
      <w:r>
        <w:rPr>
          <w:b/>
        </w:rPr>
        <w:t>E. 4</w:t>
      </w:r>
    </w:p>
    <w:p>
      <w:r>
        <w:t>Die Beschwerdeführer unterliegen und werden kostenpflichtig, unter solidarischer Haftbarkeit ( Art. 66 Abs. 1 und Abs. 5 BGG ). Hingegen ist keine Parteientschädigung geschuldet, weil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