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5A_676/2014 vom 18. Mai 2015</w:t>
      </w:r>
    </w:p>
    <w:p>
      <w:r>
        <w:t>Bundesgericht, 2015-05-18, IT</w:t>
      </w:r>
    </w:p>
    <w:p>
      <w:r>
        <w:rPr>
          <w:b/>
        </w:rPr>
        <w:t xml:space="preserve">Quelle: </w:t>
      </w:r>
      <w:r>
        <w:t>https://mcp.opencaselaw.ch/entscheid/bger_5A_676_2014</w:t>
      </w:r>
    </w:p>
    <w:p>
      <w:r>
        <w:t>FR: TF 5A_676/2014 du 18 mai 2015</w:t>
      </w:r>
    </w:p>
    <w:p>
      <w:r>
        <w:t>IT: TF 5A_676/2014 del 18 maggio 2015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Da quanto precede discende che il ricorso va respinto nella misura in cui è ammissibile.</w:t>
      </w:r>
    </w:p>
    <w:p>
      <w:r>
        <w:t>La domanda di gratuito patrocinio presentata dal ricorrente non può essere accolta già per mancanza di possibilità di esito favorevole del suo gravame ( art. 64 cpv. 1 LTF ).</w:t>
      </w:r>
    </w:p>
    <w:p>
      <w:r>
        <w:t>Le spese giudiziarie sono poste a carico del ricorrente ( art. 66 cpv. 1 LTF ). Non si giustifica assegnare ripetibili all'opponente, la quale non si è espressa sull'istanza di effetto sospensivo al ricorso e non è stata invitata a presentare una risposta al gravame ( art. 68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