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672/2017 vom 20. April 2018</w:t>
      </w:r>
    </w:p>
    <w:p>
      <w:r>
        <w:t>Bundesgericht, 2018-04-20, FR</w:t>
      </w:r>
    </w:p>
    <w:p>
      <w:r>
        <w:rPr>
          <w:b/>
        </w:rPr>
        <w:t xml:space="preserve">Quelle: </w:t>
      </w:r>
      <w:r>
        <w:t>https://mcp.opencaselaw.ch/entscheid/bger_5A_672_2017</w:t>
      </w:r>
    </w:p>
    <w:p>
      <w:r>
        <w:t>FR: TF 5A 672/2017 du 20 avril 2018</w:t>
      </w:r>
    </w:p>
    <w:p>
      <w:r>
        <w:t>IT: TF 5A 672/2017 del 20 aprile 2018</w:t>
      </w:r>
    </w:p>
    <w:p>
      <w:pPr>
        <w:pStyle w:val="Heading2"/>
      </w:pPr>
      <w:r>
        <w:t>Regeste</w:t>
      </w:r>
    </w:p>
    <w:p>
      <w:r>
        <w:t>modification des contributions d'entretien | Droit de la famille</w:t>
      </w:r>
    </w:p>
    <w:p>
      <w:pPr>
        <w:pStyle w:val="Heading2"/>
      </w:pPr>
      <w:r>
        <w:t>Erwägungen</w:t>
      </w:r>
    </w:p>
    <w:p>
      <w:r>
        <w:rPr>
          <w:b/>
        </w:rPr>
        <w:t>E. 1</w:t>
      </w:r>
    </w:p>
    <w:p>
      <w:r>
        <w:t>La décision statuant sur la modification d'une contribution d'entretien fixée dans une convention homologuée est sujette au recours en matière civile ( art. 72 al. 1 LTF ) lorsque, comme en l'espèce, la valeur litigieuse atteint 30'000 fr. (art. 51 al. 4 et 74 al. 1 let. b LTF). Interjeté contre une décision finale ( art. 90 LTF ) rendue en dernière instance cantonale ( art. 75 LTF ), par une partie qui a succombé dans ses conclusions prises devant l'autorité précédente ( art. 76 al. 1 LTF ), le recours est en principe recevable. Il a en outre été déposé dans le délai compte tenu des féries d'été (art. 45 al. 1, 46 al. 1 let. b et 100 al. 1 LTF).</w:t>
      </w:r>
    </w:p>
    <w:p>
      <w:r>
        <w:rPr>
          <w:b/>
        </w:rPr>
        <w:t>E. 2.1</w:t>
      </w:r>
    </w:p>
    <w:p>
      <w:r>
        <w:t>Le recours en matière civile peut être formé pour violation du droit fédéral ( art. 95 let. a LTF ), lequel comprend les droits constitutionnels ( ATF 133 III 446 consid. 3.1 et 462 consid. 2.3).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des droits fondamentaux que si un tel grief a été soulevé et motivé par le recourant (" principe d'allégation ": art. 106 al. 2 LTF ; ATF 139 I 229 consid. 2.2; 137 II 305 consid. 3.3; 134 I 83 consid. 3.2), c'est-à-dire s'il a été expressément soulevé et exposé de façon claire et détaillée ( ATF 135 III 232 consid. 1.2; 133 II 249 consid. 1.4.2); les critiques appellatoires sont irrecevables ( ATF 140 III 264 consid. 2.3 et les arrêts cités).</w:t>
      </w:r>
    </w:p>
    <w:p>
      <w:r>
        <w:rPr>
          <w:b/>
        </w:rPr>
        <w:t>E. 2.2</w:t>
      </w:r>
    </w:p>
    <w:p>
      <w:r>
        <w:t>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En l'espèce, les faits que le recourant expose aux pages 4 à 6 de son écriture en reprenant quasiment in extenso son appel seront ignorés en tant qu'ils ne sont pas expressément visés par les griefs examinés ci-après (cf. infra, consid. 4), qu'ils s'écartent de ceux contenus dans l'arrêt attaqué et que le recourant n'invoque, ni a fortiori ne démontre, leur établissement arbitraire ou que leur correction influerait sur le sort de la cause.</w:t>
      </w:r>
    </w:p>
    <w:p>
      <w:r>
        <w:rPr>
          <w:b/>
        </w:rPr>
        <w:t>E. 3</w:t>
      </w:r>
    </w:p>
    <w:p>
      <w:r>
        <w:t>Le recourant a agi en modification des contributions d'entretien dues à son fils selon la convention du 1 er octobre 2013 homologuée le 17 septembre 2013 par le Tribunal de protection.</w:t>
      </w:r>
    </w:p>
    <w:p>
      <w:r>
        <w:rPr>
          <w:b/>
        </w:rPr>
        <w:t>E. 3.1</w:t>
      </w:r>
    </w:p>
    <w:p>
      <w:r>
        <w:t>En cas de modifications importantes des circonstances (besoins de l'enfant, capacité contributive des parents, coût de la vie; cf. art. 286 al. 1 CC ), le juge modifie ou supprime la contribution d'entretien, à la demande de l'un des parents ou de l'enfant ( art. 286 al. 2 CC ).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 ATF 137 III 604 consid.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Si ces conditions sont remplies, le juge doit alors fixer la nouvelle contribution d'entretien après avoir actualisé tous les éléments pris en compte pour le calcul dans le jugement précédent ( ATF 137 III 604 consid. 4.1.1; arrêt 5A_90/2017 du 24 août 2017 consid. 3.3 et les références), en faisant usage de son pouvoir d'appréciation ( art. 4 CC ; arrêt 5A_90/2017 précité). Ces principes valent aussi s'agissant de la modification de contributions fixées par convention homologuée, à moins qu'une telle adaptation n'ait été exclue (cf. art. 287 al. 2 CC ; arrêt 5A_90/2017 précité).</w:t>
      </w:r>
    </w:p>
    <w:p>
      <w:r>
        <w:rPr>
          <w:b/>
        </w:rPr>
        <w:t>E. 3.2</w:t>
      </w:r>
    </w:p>
    <w:p>
      <w:r>
        <w:t>En l'occurrence, le recourant se plaint pour l'essentiel d'un établissement manifestement inexacte des paramètres de calcul, à savoir de l'étendue de sa prise en charge de l'enfant, de la quotité de ses ressources et de ses charges et de la situation financière de la mère. La violation des art. 276 et 285 CC n'est invoquée que comme conséquence de l'admission de ce premier grief tiré de la constatation arbitraire des faits.</w:t>
      </w:r>
    </w:p>
    <w:p>
      <w:r>
        <w:rPr>
          <w:b/>
        </w:rPr>
        <w:t>E. 4</w:t>
      </w:r>
    </w:p>
    <w:p>
      <w:r>
        <w:t>Se référant à l'accord qu'il a passé avec la mère le 17 juin 2015, le recourant soutient d'abord que l'autorité cantonale a " retenu faussement " qu'il prend en charge son enfant huit jours par mois.</w:t>
      </w:r>
    </w:p>
    <w:p>
      <w:r>
        <w:rPr>
          <w:b/>
        </w:rPr>
        <w:t>E. 4.1</w:t>
      </w:r>
    </w:p>
    <w:p>
      <w:r>
        <w:t>Autant qu'il affirme prendre en charge son fils douze jours par mois, soit du vendredi soir jusqu'au mardi soir suivant (quatre jours), du dimanche soir de la même semaine jusqu'au mardi soir suivant (deux jours), du vendredi de la même semaine jusqu'au mardi soir suivant (quatre jours) et du dimanche soir de la même semaine au mardi soir suivant (deux jours), sa critique des faits est appellatoire et ne répond pas aux exigences posées en la matière (cf. supra, consid. 2). Le recourant ne démontre en effet pas en quoi l'autorité cantonale aurait interprété de façon insoutenable l'accord passé avec la mère le 17 juin 2015 en retenant qu'il ne prévoyait qu'une extension de vingt-quatre heures du droit de visite, toutes les deux semaines, du dimanche en fin de journée au mardi matin - et non au mardi soir comme l'indiquait de façon erronée le calcul de l'appelant -, en lieu et place du jeudi en fin de journée au vendredi matin comme prévu dans l'ordonnance du 28 avril 2015, ce qui portait en définitive à dix jours, tout au plus, la prise en charge de son fils par l'appelant.</w:t>
      </w:r>
    </w:p>
    <w:p>
      <w:r>
        <w:rPr>
          <w:b/>
        </w:rPr>
        <w:t>E. 4.2</w:t>
      </w:r>
    </w:p>
    <w:p>
      <w:r>
        <w:t>Lorsque le recourant reproche à la Cour de justice de ne pas avoir tenu compte de l'accord du 17 juin 2015 alors qu'il " s'applique de manière concrète depuis [...] plus de deux ans ", il ne discute pas les motifs de la décision entreprise ni n'indique précisément en quoi il estime que l'autorité précédente a méconnu le droit en considérant, d'une part, qu'un tel accord - non ratifié - n'avait pas d'effet contraignant, la mère tout comme l'appelant étant libres de renoncer à l'extension du droit de visite convenue, et, d'autre part, qu'il n'y avait pas lieu d'ordonner d'office dans le cadre de la présente procédure une modification du règlement des relations personnelles afin que celles-ci reflètent le contenu de l'accord visé. Partant, son grief est irrecevable (cf. art. 42 al. 2 LTF ; supra, consid. 2.1).</w:t>
      </w:r>
    </w:p>
    <w:p>
      <w:r>
        <w:rPr>
          <w:b/>
        </w:rPr>
        <w:t>E. 5</w:t>
      </w:r>
    </w:p>
    <w:p>
      <w:r>
        <w:t>Le recourant prétend ensuite qu'il est " faux " de retenir qu'il a des revenus réguliers dès lors qu'il est " intérimaire " et " n'a notamment pas travaillé du mois de janvier au mois d'avril 2017 ". Il se trouverait dans une situation précaire et n'aurait perçu en 2017 qu'un revenu mensuel inférieur à 3'000 fr. Fondée sur un fait (absence temporaire de travail en 2017) qui ne ressort pas de l'arrêt entrepris sans que le recourant ne démontre qu'il aurait été arbitrairement omis, et manifestement appellatoire pour le surplus, cette critique est irrecevable (cf. supra, consid. 2).</w:t>
      </w:r>
    </w:p>
    <w:p>
      <w:r>
        <w:rPr>
          <w:b/>
        </w:rPr>
        <w:t>E. 6</w:t>
      </w:r>
    </w:p>
    <w:p>
      <w:r>
        <w:t>Le recourant reproche encore à la Cour de justice de s'être " méprise " en ne prenant pas en considération dans ses charges le montant de 806 fr. 35 à titre de remboursement des dettes qu'il " a été contraint de souscrire afin de subvenir à ses besoins les plus élémentaires et à ceux de son fils ", fait qui " coule[rait] sous le sens ". Ce faisant, il ne s'en prend toutefois pas, conformément aux exigences (cf. supra, consid. 2), aux considérations selon lesquelles il n'a précisément pas démontré qu'il aurait été obligé de contracter ces prêts pour subvenir à son entretien ou contribuer à celui de son fils. Il se contente en effet d'une critique appellatoire.</w:t>
      </w:r>
    </w:p>
    <w:p>
      <w:r>
        <w:rPr>
          <w:b/>
        </w:rPr>
        <w:t>E. 7</w:t>
      </w:r>
    </w:p>
    <w:p>
      <w:r>
        <w:t>Le recourant prétend enfin que la Chambre civile a " écarté sciemment et sans aucune raison valable ", si ce n'est l'âge de l'enfant, " la prise en compte d'une potentielle augmentation du taux d'activité lucrative de la mère ", alors même que cette dernière " s'y est montré pleinement favorable " en déclarant " avoir l'intention de porter son taux d'activité à 80% ".</w:t>
      </w:r>
    </w:p>
    <w:p>
      <w:r>
        <w:rPr>
          <w:b/>
        </w:rPr>
        <w:t>E. 7.1</w:t>
      </w:r>
    </w:p>
    <w:p>
      <w:r>
        <w:t>Pour autant que, ce faisant, le recourant entend reprocher à l'autorité cantonale de ne pas avoir imputé à la mère un revenu hypothétique correspondant à une activité à 80%, sa critique tombe à faux.</w:t>
      </w:r>
    </w:p>
    <w:p>
      <w:r>
        <w:rPr>
          <w:b/>
        </w:rPr>
        <w:t>E. 7.2</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w:t>
      </w:r>
    </w:p>
    <w:p>
      <w:r>
        <w:rPr>
          <w:b/>
        </w:rPr>
        <w:t>E. 7.3</w:t>
      </w:r>
    </w:p>
    <w:p>
      <w:r>
        <w:t>En l'espèce, la Cour de justice a certes considéré qu'au vu de l'âge de l'enfant (quatre ans), dont la mère assumait la garde de fait, on ne pouvait exiger de cette dernière qu'elle exerce une activité lucrative à un taux supérieur à 30%, et ce même si elle avait déclaré avoir l'intention de porter son taux d'activité à 80%. Point n'est toutefois besoin d'examiner ces considérations qui, comme exposé ci-devant, ressortissent au droit s'agissant du principe même d'un revenu hypothétique, et non à la constatation des faits ainsi que l'affirme le recourant. D'un autre côté, l'autorité cantonale a en effet retenu qu'en l'état, les revenus de la mère ne pouvaient excéder les 3'000 fr. nets par mois qu'elle alléguait être en mesure de réaliser, question qui relève du fait et que le recourant ne critique aucunement (cf. art. 106 al. 2 LTF ; supra consid. 2.2). Or, il résulte du dossier (réplique du 9 novembre 2016 p. 3 ad 17 à 22 et duplique du 3 janvier 2017 p. 2) que l'intéressée a articulé ce montant alors qu'elle réalisait un salaire mensuel net arrondi de 1'707 fr. pour un poste de secrétaire réceptionniste à 30% et qu'elle touchait parallèlement des indemnités de chômage faute d'avoir trouvé un travail complémentaire à 50% lui permettant de porter son taux d'activité à 80%. Le revenu hypothétique de 3'000 fr. - dont la Cour de justice a considéré qu'il ne couvrait guère plus que les charges mensuelles minimales de la mère (2'750 fr.) - ne peut ainsi être compris que pour une activité à 80 %. En tous les cas, le recourant ne soutient ni ne démontre (cf. art. 106 al. 2 LTF ; supra, consid. 2.2) qu'il correspondrait à une activité à 30%.</w:t>
      </w:r>
    </w:p>
    <w:p>
      <w:r>
        <w:rPr>
          <w:b/>
        </w:rPr>
        <w:t>E. 8</w:t>
      </w:r>
    </w:p>
    <w:p>
      <w:r>
        <w:t>Vu ce qui précède, le recours, qui échoue à établir l'arbitraire de l'actualisation des critères de calcul, doit être rejeté dans la mesure de sa recevabilité. Comme il était par ailleurs d'emblée dénué de chances de succès, la requête d'assistance judiciaire du recourant doit être rejetée ( art. 64 LTF ). Dès lors qu'il succombe, ce dernier supportera les frais de la procédure ( art. 66 al. 1 LTF ). Il n'y a pas lieu d'allouer de dépens à l'intimé qui n'a pas été invité à répondre au fond et ne s'est pas déterminé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