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670/2007 vom 17. April 2008</w:t>
      </w:r>
    </w:p>
    <w:p>
      <w:r>
        <w:t>Bundesgericht, 2008-04-17, DE</w:t>
      </w:r>
    </w:p>
    <w:p>
      <w:r>
        <w:rPr>
          <w:b/>
        </w:rPr>
        <w:t xml:space="preserve">Quelle: </w:t>
      </w:r>
      <w:r>
        <w:t>https://mcp.opencaselaw.ch/entscheid/bger_5A_670_2007</w:t>
      </w:r>
    </w:p>
    <w:p>
      <w:r>
        <w:t>FR: TF 5A 670/2007 du 17 avril 2008</w:t>
      </w:r>
    </w:p>
    <w:p>
      <w:r>
        <w:t>IT: TF 5A 670/2007 del 17 aprile 2008</w:t>
      </w:r>
    </w:p>
    <w:p>
      <w:pPr>
        <w:pStyle w:val="Heading2"/>
      </w:pPr>
      <w:r>
        <w:t>Regeste</w:t>
      </w:r>
    </w:p>
    <w:p>
      <w:r>
        <w:t>Paulianische Anfechtung | Schuldbetreibungs- und Konkursrecht</w:t>
      </w:r>
    </w:p>
    <w:p>
      <w:pPr>
        <w:pStyle w:val="Heading2"/>
      </w:pPr>
      <w:r>
        <w:t>Erwägungen</w:t>
      </w:r>
    </w:p>
    <w:p>
      <w:r>
        <w:rPr>
          <w:b/>
        </w:rPr>
        <w:t>E. 1</w:t>
      </w:r>
    </w:p>
    <w:p>
      <w:r>
        <w:t>Angefochten ist ein Entscheid über eine betreibungsrechtliche Anfechtungsklage gemäss Art. 285 ff. SchKG , welcher als Entscheid in Schuldbetreibungs- und Konkurssachen der Beschwerde in Zivilsachen unterliegt ( Art. 72 Abs. 2 lit. a BGG ).</w:t>
      </w:r>
    </w:p>
    <w:p>
      <w:r>
        <w:rPr>
          <w:b/>
        </w:rPr>
        <w:t>E. 1.1</w:t>
      </w:r>
    </w:p>
    <w:p>
      <w:r>
        <w:t>Die Beschwerde richtet sich gegen einen Entscheid betreffend die Fristverwirkung, wobei die Vorinstanz die Fristwahrung festgestellt hat. Es ist unbestritten, dass nur für den Fall des Fristbeginns im Zeitpunkt der Bestätigung des Nachlassvertrages die zweijährige Frist gewahrt ist, während bei einem früheren Fristbeginn die Klage verwirkt und abzuweisen wäre. Der selbständig eröffnete Entscheid über die Fristwahrung stellt einen Vor- bzw. Zwischenentscheid im Sinne von Art. 93 BGG dar. Die Beschwerde würde im Falle der Gutheissung sofort einen Endentscheid herbeiführen und einen bedeutenden Aufwand an Zeit oder Kosten ersparen. Die Beschwerde ist daher zulässig ( Art. 93 Abs. 1 lit. b BGG ), zumal die Streitwertgrenze offensichtlich erreicht ist ( Art. 51 Abs. 1 lit. c, Art. 74 Abs. 1 lit. b BGG ) und ein Fachgericht für handelsrechtliche Streitigkeiten als einzige kantonale Instanz entschieden hat ( Art. 75 Abs. 2 lit. b BGG ).</w:t>
      </w:r>
    </w:p>
    <w:p>
      <w:r>
        <w:rPr>
          <w:b/>
        </w:rPr>
        <w:t>E. 2.1</w:t>
      </w:r>
    </w:p>
    <w:p>
      <w:r>
        <w:t>Umstritten ist, wann das Recht zur Anfechtung von Rechtshandlungen nach Art. 286 ff. SchKG beim Nachlassvertrag mit Vermögensabtretung verwirkt ist. Mit Urteil 5A_320/2007 vom 4. Februar 2008 (E. 3 und 4), das in einem Beschwerdeverfahren mit den gleichen Parteien ergangen ist, hat das Bundesgericht entschieden, dass die zweijährige Verwirkungsfrist von Art. 292 i.V.m. Art. 331 SchKG mit der rechtskräftigen Bestätigung des Nachlassvertrages mit Vermögensabtretung zu laufen beginnt (ebenso Urteil 5A_418/2007 vom 4. Februar 2008, E. 3 und 4, zur amtlichen Publikation bestimmt). Was die Beschwerdeführerin vorbringt, entspricht im Wesentlichen dem im Verfahren 5A_320/2007 Vorgebrachten und vermag im Übrigen die jüngst begründete Rechtsprechung nicht in Frage zu stellen. Vorliegend steht fest, dass der Liquidator vor Ablauf von zwei Jahren seit der rechtskräftigen Bestätigung des Nachlassvertrages Anfechtungsklage im Umfang von Euro 17'656'200 gegen die Beschwerdeführerin eingeleitet hat. Wenn das Handelsgericht festgestellt hat, dass die Klägerin die Verwirkungsfrist gemäss Art. 331 i.V.m. Art. 292 SchKG gewahrt hat, stellt dies keine Verletzung von Bundesrecht dar.</w:t>
      </w:r>
    </w:p>
    <w:p>
      <w:r>
        <w:rPr>
          <w:b/>
        </w:rPr>
        <w:t>E. 2.2</w:t>
      </w:r>
    </w:p>
    <w:p>
      <w:r>
        <w:t>Das Handelsgericht hat im Weiteren die beiden Eventualstandpunkte der Beschwerdeführerin verworfen. Es ist zur Auffassung gelangt, dass keine verbindliche Schiedsklausel vorliege und diese für Anfechtungsklagen ohnehin nicht anwendbar sei, und dass genüge, wenn die Weisung von einem (der mehreren) Friedensrichter der Gemeinde ausgestellt werde. Diese Auffassung wird von der Beschwerdeführerin nicht in Frage gestellt (vgl. Art. 42 Abs. 2 BGG ).</w:t>
      </w:r>
    </w:p>
    <w:p>
      <w:r>
        <w:rPr>
          <w:b/>
        </w:rPr>
        <w:t>E. 3</w:t>
      </w:r>
    </w:p>
    <w:p>
      <w:r>
        <w:t>Nach dem Dargelegten ist die Beschwerde abzuweisen. Bei diesem Verfahrensausgang wird die Beschwerdeführerin kostenpflichtig ( Art. 66 Abs. 1 BGG ). Eine Parteientschädigung ist nicht zu sprechen, da keine Beschwerdeantwort eingeholt wurde und der Beschwerdegegnerin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