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5A_66/2019 vom 5. November 2019</w:t>
      </w:r>
    </w:p>
    <w:p>
      <w:r>
        <w:t>Bundesgericht, 2019-11-05, FR</w:t>
      </w:r>
    </w:p>
    <w:p>
      <w:r>
        <w:rPr>
          <w:b/>
        </w:rPr>
        <w:t xml:space="preserve">Quelle: </w:t>
      </w:r>
      <w:r>
        <w:t>https://mcp.opencaselaw.ch/entscheid/bger_5A_66_2019</w:t>
      </w:r>
    </w:p>
    <w:p>
      <w:r>
        <w:t>FR: TF 5A_66/2019 du 5 novembre 2019</w:t>
      </w:r>
    </w:p>
    <w:p>
      <w:r>
        <w:t>IT: TF 5A_66/2019 del 5 novembre 2019</w:t>
      </w:r>
    </w:p>
    <w:p>
      <w:pPr>
        <w:pStyle w:val="Heading2"/>
      </w:pPr>
      <w:r>
        <w:t>Erwägungen</w:t>
      </w:r>
    </w:p>
    <w:p>
      <w:r>
        <w:rPr>
          <w:b/>
        </w:rPr>
        <w:t>E. 1</w:t>
      </w:r>
    </w:p>
    <w:p>
      <w:r>
        <w:t>Interjeté en temps utile (art. 100 al. 1 et 46 al. 1 let. c LTF) et en la forme prévue par la loi ( art. 42 al. 1 LTF ), le recours est dirigé contre une décision finale ( art. 90 LTF ), prise par un tribunal cantonal supérieur statuant en dernière instance cantonale ( art. 75 al. 1 et 2 LTF ), dans une affaire de nature non pécuniaire sujette au recours en matière civile ( art. 72 al. 1 LTF ). Le recourant, qui a succombé devant la juridiction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ATF 141 IV 249 consid. 1.3.1 et la référence).</w:t>
      </w:r>
    </w:p>
    <w:p>
      <w:r>
        <w:t>Par ailleurs, aucun fait nouveau ni preuve nouvelle ne peut être présenté à moins de résulter de la décision de l'autorité précédente ( art. 99 al. 1 LTF ). Partant, tant les allégations formulées dans la réponse de l'intimée que les pièces produites à leur appui - toutes postérieures à l'arrêt attaqué - sont irrecevables. Il en va de même de l'ordonnance du TPAE du 24 septembre 2019 et du rapport du Service de protection des mineurs du 25 octobre 2019 transmis au Tribunal de céans par l'intimée.</w:t>
      </w:r>
    </w:p>
    <w:p>
      <w:r>
        <w:rPr>
          <w:b/>
        </w:rPr>
        <w:t>E. 3</w:t>
      </w:r>
    </w:p>
    <w:p>
      <w:r>
        <w:t>Le recourant se plaint à plusieurs égards d'une constatation manifestement inexacte des faits. En réalité, le grief se confond avec celui de violation de l' art. 298b al. 3ter CC , examiné ci-après, en tant que les faits que le recourant entend voir constatés consistent en définitive dans les éléments d'appréciation de l'intérêt de l'enfant.</w:t>
      </w:r>
    </w:p>
    <w:p>
      <w:r>
        <w:rPr>
          <w:b/>
        </w:rPr>
        <w:t>E. 4</w:t>
      </w:r>
    </w:p>
    <w:p>
      <w:r>
        <w:t>Le recourant invoque une violation de l' art. 298b al. 3ter CC .</w:t>
      </w:r>
    </w:p>
    <w:p>
      <w:r>
        <w:rPr>
          <w:b/>
        </w:rPr>
        <w:t>E. 4.1</w:t>
      </w:r>
    </w:p>
    <w:p>
      <w:r>
        <w:t>A teneur de l' art. 298b al. 3ter CC , lorsque l'autorité parentale est exercée conjointement, l'autorité de protection de l'enfant examine, selon le bien de l'enfant, la possibilité de la garde alternée, si le père, la mère ou l'enfant le demande.</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5A_794/2017 du 7 février 2018 consid. 3.1; 5A_46/2015 du 26 mai 2015 consid. 4.4.3;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 ATF 142 III 617 consid. 3.2.3; arrêts 5A_34/2017 du 4 mai 2017 consid. 5.1; 5A_425/2016 du 15 décembre 2016 consid. 3.4.2).</w:t>
      </w:r>
    </w:p>
    <w:p>
      <w:r>
        <w:t>Le juge doit évaluer, sur la base de la situation de fait actuelle ainsi que de celle qui prévalait avant la séparation des parties, si l'instauration d'une garde alternée est effectivement à même de préserver le bien de l'enfant ( ATF 142 III 617 consid. 3.2.3; arrêt 5A_34/2017 du 4 mai 2017 consid. 5.1). A cette fin, le juge doit en premier lieu examiner l'existence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5A_241/2018 du 18 mars 2019 consid. 5.1; 5A_425/2016 du 15 décembre 2016 consid. 3.4.2).</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arrêt 5A_794/2017 du 7 février 2018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5A_34/2017 du 4 mai 2017 consid. 5.1).</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 arrêt 5A_34/2017 du 4 mai 2017 consid. 5.1).</w:t>
      </w:r>
    </w:p>
    <w:p>
      <w:r>
        <w:t>Pour apprécier ces critères, le juge du fait, qui connaît le mieux les parties et le milieu dans lequel vit l'enfant, dispose d'un large pouvoir d'appréciation ( ATF 142 III 617 consid. 3.2.5 et les références; arrêt 5A_241/2018 du 18 mars 2019 consid. 5.1).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4.2</w:t>
      </w:r>
    </w:p>
    <w:p>
      <w:r>
        <w:t>La Chambre de surveillance a retenu, sur la base du préavis du SEASP, que la garde alternée exercée précédemment par les parents n'apparaîtra plus adaptée à la situation vécue par l'enfant dès l'année à venir. En effet, d'une part l'enfant sera scolarisée à proximité du domicile de sa mère, son lieu de résidence habituel, dans le quartier de X.________ à Genève, alors que le père est domicilié en France, à l'exact opposé géographique de ce lieu. Les trajets nécessités pour l'organisation de la garde alternée telle que prévue par l'autorité de protection étaient à eux seuls incompatibles avec les besoins de stabilité auxquels l'enfant pouvait prétendre. Ces trajets étaient susceptibles de provoquer fatigue et irritation chez la mineure. Tel était par ailleurs déjà le cas à teneur du rapport qui constate que l'organisation des trajets est astreignante pour l'enfant. En outre, une telle organisation n'était pas durable pour les raisons qui précèdent. Pour le surplus, le dossier enseignait que les parents avaient été incapables de mettre sur pied une organisation raisonnée de la garde alternée qu'ils exerçaient précédemment au point que cette organisation était devenue la source principale de leurs conflits. Il tombait dès lors sous le sens que l'intérêt de l'enfant ne pouvait être compatible avec le conflit permanent qui anime les parents quant à l'organisation d'une éventuelle garde alternée de leur fille. Ces motifs suffisaient déjà à considérer la décision prise par l'autorité de protection sur ce point comme inopportune, voire contraire à la loi. Le recours était donc à cet égard fondé, de sorte que la garde de l'enfant devait être attribuée à la recourante qui vit avec elle, à son lieu de scolarisation future.</w:t>
      </w:r>
    </w:p>
    <w:p>
      <w:r>
        <w:rPr>
          <w:b/>
        </w:rPr>
        <w:t>E. 4.3</w:t>
      </w:r>
    </w:p>
    <w:p>
      <w:r>
        <w:t>Le recourant se plaint pour l'essentiel du fait que l'ensemble des critères qui peuvent justifier l'instauration de la garde alternée ou l'attribution de la garde exclusive à l'un des parents au sens de la jurisprudence sus-exposée (cf.</w:t>
      </w:r>
    </w:p>
    <w:p>
      <w:r>
        <w:t>supra consid. 4.1) n'a pas été examiné par la cour cantonale. Il procède dès lors à sa propre appréciation des divers critères dont l'examen aurait été omis et en déduit une violation de l'interdiction de l'arbitraire dans l'établissement des faits sur ces points. Ce faisant, il omet que les différents critères d'appréciation énoncés par la jurisprudence sont interdépendants et que leur importance varie en fonction du cas d'espèce. Ainsi, il n'est pas exclu qu'un seul critère présente, dans le cas particulier, une importance telle qu'il suffise à faire obstacle à la mise en place d'une garde alternée. Or, en l'espèce, même si l'on peut regretter que cela ne ressorte pas plus clairement de la motivation de l'arrêt attaqué, il apparaît que la Cour de justice a considéré que la distance importante qui séparait le domicile de l'intimée dans le quartier de X.________ à Genève, où l'enfant sera également scolarisée, et le domicile du père en France, l'astreinte et la fatigue que de tels trajets représenteront pour l'enfant ainsi que l'incapacité des parents à mettre sur pied une organisation raisonnée de la garde alternée suffisaient à exclure ce mode de garde. Il n'y a dès lors pas lieu de s'interroger sur la question de savoir si les autres critères pour instaurer une garde alternée entre les parents sont remplis mais uniquement d'examiner si la Cour de justice a excédé son pouvoir d'appréciation en estimant que les seuls critères retenus pour exclure un tel mode de garde étaient suffisants.</w:t>
      </w:r>
    </w:p>
    <w:p>
      <w:r>
        <w:t>S'agissant de la distance séparant les domiciles des parents et de la fatigue que les trajets induisent pour l'enfant, le recourant reproche à la cour cantonale d'être arrivée à une conclusion différente de celle de l'autorité de première instance sur la base des mêmes faits et de ne pas avoir chiffré les kilomètres ou le temps nécessaires à ce trajet. Il se contente toutefois d'affirmer péremptoirement que " la distance séparant les deux domiciles n'est que de quelques kilomètres et le trajet motorisé d'environ 30 minutes " sans fournir de preuve à l'appui de ses allégations, alors que la distance kilométrique n'est pas un fait notoire (cf. arrêt 4A_509/2014 du 4 février 2015 consid. 2.2, publié in SJ 2015 I p. 385). Quoi qu'il en soit, même si la durée alléguée pour le trajet était avérée, ce que conteste l'intimée qui soutient pour sa part que durant les heures de pointe la durée indiquée par le recourant devrait être doublée, il n'en demeure pas moins que la question de savoir si l'on peut raisonnablement imposer presque quotidiennement à deux reprises, vraisemblablement une semaine sur deux, un trajet de 30 minutes à un enfant de quatre ans et demi, à savoir l'âge qu'aura C.________ au moment de sa scolarisation, ressortit au large pouvoir d'appréciation dont dispose la cour cantonale en la matière. Le recourant relève à juste titre que le caractère astreignant des trajets pour l'enfant n'a été mis en évidence dans le rapport d'évaluation sociale qu'en lien avec les cinq passages hebdomadaires auxquels elle était soumise jusqu'à maintenant et non de manière générale. Ce nonobstant, la cour cantonale pouvait apprécier librement la situation et considérer que les trajets représenteraient une contrainte trop importante pour l'enfant. A cet égard, en tant que le recourant se contente de soutenir le contraire, il ne parvient pas à démontrer que la Cour de justice aurait excédé son pouvoir d'appréciation. Il rappelle certes ne travailler qu'à 80%, être disponible trois demi-journées par semaine pour sa fille et pouvoir la prendre en charge personnellement dès sa sortie de l'école à 16h., au contraire de l'intimée qui devra avoir recours aux services des cuisines scolaires et au parascolaire. On peine toutefois à saisir en quoi ces éléments seraient susceptibles d'avoir une incidence sur les deux trajets que l'enfant se verrait imposer quotidiennement entre la France voisine et Genève pour aller et revenir de l'école. Contrairement à ce que soutient le recourant, il était par ailleurs justifié de tenir compte, dans l'appréciation de la cause, de la scolarisation de l'enfant à Genève qui interviendra à la rentrée 2020. S'il s'agit certes d'un fait futur, il n'est aucunement hypothétique et la certitude avec laquelle il va intervenir et le fait que sa date soit aisément déterminable justifiaient au contraire d'en tenir d'ores et déjà compte, ce d'autant que l'enfant fréquente déjà une crèche à Genève et que le recourant n'a jamais pris de conclusion subsidiaire tendant à l'attribution de la garde exclusive en sa faveur ni évoqué la possibilité d'une scolarisation de l'enfant en France. Son exclusion des critères d'appréciation aurait dès lors constitué un non-sens au même titre que l'instauration d'une garde alternée uniquement pour la période précédent l'entrée de l'enfant à l'école.</w:t>
      </w:r>
    </w:p>
    <w:p>
      <w:r>
        <w:t>S'agissant du second critère considéré comme déterminant pour renoncer à l'instauration de la garde alternée, à savoir l'incapacité des parties à mettre en oeuvre la collaboration nécessaire à ce type de garde, le recourant reproche à la cour cantonale de ne pas avoir tenu compte du fait qu'une garde alternée avait d'ores et déjà été mise en place par les parties. Sur ce point, la Cour de justice a toutefois intégralement suivi le rapport d'évaluation sociale aux termes duquel l'organisation de la garde alternée est devenue l'enjeu central du conflit qui oppose les parties au point que l'enfant avait été privée à plusieurs reprises du temps de garde par sa mère. Le SEASP a également mis en évidence une absence de communication parentale directe entraînant un manque d'informations, dont certaines pourtant essentielles à la cohérence de la prise en charge de l'enfant. Le recourant ne saurait dès lors considérer comme acquise une situation qui a précisément d'ores et déjà montré ses limites. Au regard du rapport d'évaluation sociale auquel l'arrêt attaqué se réfère expressément, il n'apparaît par ailleurs pas que la problématique du nombre de passages de l'enfant d'un parent à l'autre ait été déterminante dans l'appréciation de la cour cantonale, qui a davantage mis l'accent sur l'absence de communication entre les parents et leur incapacité à organiser la garde alternée. Il n'y a dès lors pas lieu de se pencher plus avant sur la critique du recourant qui relève que le large droit de visite qui lui est alloué par l'arrêt attaqué n'est pas susceptible de réduire le conflit existant dans la mesure où le nombre de passages de l'enfant d'un parent à l'autre augmentera de deux à quatre une semaine sur deux.</w:t>
      </w:r>
    </w:p>
    <w:p>
      <w:r>
        <w:t>Dans une argumentation largement appellatoire, le recourant met encore en évidence la " course au conflit " à laquelle se livrerait l'intimée et expose que les conflits liés à la prise en charge de l'enfant par des tiers, aux problématiques médicales et à l'organisation des vacances persisteront même avec l'attribution de la garde exclusive à l'intimée. Ce faisant, il semble omettre que la situation conflictuelle existant entre les parties n'est pas le seul motif qui a amené la cour cantonale à renoncer à l'instauration de la garde alternée. En outre, même si certaines thématiques devaient demeurer conflictuelles en attribuant la garde exclusive à l'intimée, ce qui ne constitue d'ailleurs qu'une conjecture, il n'en demeure pas moins que la capacité et volonté des parents de communiquer et coopérer, qui a été niée en l'espèce, constitue une prémisse nécessaire à l'instauration de la garde alternée compte tenu des mesures organisationnelles et de la transmission régulière d'informations que nécessite ce mode de garde. Partant, c'est à juste titre que la cour cantonale s'est fondée également sur ce motif pour exclure son instauration.</w:t>
      </w:r>
    </w:p>
    <w:p>
      <w:r>
        <w:t>Enfin, le recourant se prévaut de sa plus grande disponibilité et de sa volonté de mettre un terme au conflit notamment par le biais d'une médiation. Ce faisant, il passe toutefois complètement sous silence les critères qui ont amené le SEASP, sur le préavis duquel la cour cantonale s'est fondée, à préconiser l'attribution de la garde à l'intimée. Il ne se prononce ainsi pas sur le constat selon lequel l'enfant avait passé la majeure partie de son temps depuis l'enfance avec sa mère, de sorte qu'elle trouverait aux côtés de celle-ci plus de stabilité sur le plan relationnel, essentiel à un développement harmonieux. Il ne conteste pas non plus que l'intimée a toujours été la personne de référence dans la prise en charge de l'enfant, comme en témoignait sa participation constante à son suivi pédiatrique. Le recourant ne saurait dès lors démontrer un abus du pouvoir d'appréciation en mettant l'accent uniquement sur les éléments qui lui sont favorables tout en faisant totalement abstraction de ceux au final jugés déterminants par la cour cantonale.</w:t>
      </w:r>
    </w:p>
    <w:p>
      <w:r>
        <w:t>Il suit de ce qui précède qu'en opposant sa propre interprétation de l'ensemble des critères qui permettent d'apprécier la possibilité d'instaurer une garde alternée, le recourant n'est pas parvenu à démontrer que la Cour de justice aurait excédé son pouvoir d'appréciation en considérant que la distance entre les domiciles respectifs des parents et les trajets qui en découlent pour l'enfant ainsi que l'absence d'une collaboration suffisante entre eux suffisaient à exclure ce mode de garde dans le cas d'espèce.</w:t>
      </w:r>
    </w:p>
    <w:p>
      <w:r>
        <w:rPr>
          <w:b/>
        </w:rPr>
        <w:t>E. 5</w:t>
      </w:r>
    </w:p>
    <w:p>
      <w:r>
        <w:t>Le recourant se plaint d'une atteinte à la vie privée et familiale garantie par les art. 8 CEDH et 14 Cst. ainsi que d'une violation du principe de la proportionnalité consacré à l' art. 36 al. 3 Cst.</w:t>
      </w:r>
    </w:p>
    <w:p>
      <w:r>
        <w:t>Ce faisant, il s'en prend en réalité à l'appréciation faite par la Cour de justice de l'intérêt de l'enfant, laquelle ne prête pas le flanc à la critique (cf.</w:t>
      </w:r>
    </w:p>
    <w:p>
      <w:r>
        <w:t>supra consid. 4); il n'explique au demeurant pas en quoi les dispositions précitées auraient, dans ce contexte, une portée propre par rapport au moyen tiré d'une mauvaise pesée des intérêts opérée dans le cadre de l'application de l' art. 298b al. 3ter CC . Ces griefs n'ont ainsi pas à être examinés plus avant.</w:t>
      </w:r>
    </w:p>
    <w:p>
      <w:r>
        <w:rPr>
          <w:b/>
        </w:rPr>
        <w:t>E. 6</w:t>
      </w:r>
    </w:p>
    <w:p>
      <w:r>
        <w:t>En définitive, le recours est rejeté dans la mesure où il est recevable. Ayant succombé, le recourant supportera les frais judiciaires, fixés à 2'000 fr. ( art. 66 al. 1 LTF ). L'intimée se verra allouer une indemnité de dépens, arrêtée à 2'500 fr.,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