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66/2017 vom 30. Januar 2017</w:t>
      </w:r>
    </w:p>
    <w:p>
      <w:r>
        <w:t>Bundesgericht, 2017-01-30, FR</w:t>
      </w:r>
    </w:p>
    <w:p>
      <w:r>
        <w:rPr>
          <w:b/>
        </w:rPr>
        <w:t xml:space="preserve">Quelle: </w:t>
      </w:r>
      <w:r>
        <w:t>https://mcp.opencaselaw.ch/entscheid/bger_5A_66_2017</w:t>
      </w:r>
    </w:p>
    <w:p>
      <w:r>
        <w:t>FR: TF 5A 66/2017 du 30 janvier 2017</w:t>
      </w:r>
    </w:p>
    <w:p>
      <w:r>
        <w:t>IT: TF 5A 66/2017 del 30 gennaio 2017</w:t>
      </w:r>
    </w:p>
    <w:p>
      <w:pPr>
        <w:pStyle w:val="Heading2"/>
      </w:pPr>
      <w:r>
        <w:t>Regeste</w:t>
      </w:r>
    </w:p>
    <w:p>
      <w:r>
        <w:t>remplacement d'un avocat d'office (mesures provisionnelles, modification d'un jugement de divorce) | Droit de la famille</w:t>
      </w:r>
    </w:p>
    <w:p>
      <w:pPr>
        <w:pStyle w:val="Heading2"/>
      </w:pPr>
      <w:r>
        <w:t>Erwägungen</w:t>
      </w:r>
    </w:p>
    <w:p>
      <w:r>
        <w:rPr>
          <w:b/>
        </w:rPr>
        <w:t>E. 1</w:t>
      </w:r>
    </w:p>
    <w:p>
      <w:r>
        <w:t>Par ordonnance du 5 décembre 2016, communiquée aux parties le 9 décembre 2016, le Juge délégué de la Cour d'appel civile du Tribunal cantonal du canton de Vaud a relevé l'avocat Me D.________ de sa mission de conseil d'office de A.________ pour la procédure d'appel qui l'oppose à B.________ contre le prononcé d'une ordonnance de mesures provisionnelles, dans une cause en modification de jugement de divorce, désigné en remplacement l'avocat Me C.________, invité les avocats à se transmettre le dossier, fixant l'indemnité allouée à Me D.________ à 1'657 fr. 80 et disant que le bénéficiaire de l'assistance judiciaire est, dans la mesure de l' art. 123 CPC , tenu au remboursement de l'indemnité du conseil d'office mise à la charge de l'Etat.</w:t>
      </w:r>
    </w:p>
    <w:p>
      <w:r>
        <w:rPr>
          <w:b/>
        </w:rPr>
        <w:t>E. 2</w:t>
      </w:r>
    </w:p>
    <w:p>
      <w:r>
        <w:t>Par acte du 10 janvier 2017, remis à l'Ambassade de Suisse à U.________ le 12 janvier 2017, A.________ interjette un recours en matière civile au Tribunal fédéral, concluant à ce que la désignation de Me C.________ comme avocat d'office et la transmission du dossier entre les conseils sont annulées. Au préalable, le recourant sollicite d'être mis au bénéfice de l'assistance judiciaire pour la procédure fédérale, en ce sens qu'il est dispensé de verser une avance de frais et du paiement des frais judiciaires. Dans ses écritures, A.________ expose qu'il procède seul, qu'il a adressé deux courriers au Juge délégué de la Cour d'appel civile du Tribunal cantonal du canton de Vaud, mais que ce magistrat s'en est débarrassé, en lui imposant un avocat contre sa volonté.</w:t>
      </w:r>
    </w:p>
    <w:p>
      <w:r>
        <w:rPr>
          <w:b/>
        </w:rPr>
        <w:t>E. 3</w:t>
      </w:r>
    </w:p>
    <w:p>
      <w:r>
        <w:t>Le présent recours en matière civile est dirigé contre une décision concernant l'assistance judiciaire dans le cadre d'une procédure de mesures provisionnelles prises pour la durée de la procédure de modification d'un jugement de divorce,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Le recourant ayant méconnu la nature de la décision entreprise, son acte de recours ne contient aucune argumentation relative à la recevabilité de son écriture au regard de l' art. 93 al. 1 LTF , a fortiori sur la question d'un préjudice irréparable au sens de l' art. 93 al. 1 let. a LTF , qui n'apparaît au demeurant pas manifeste. Le recours fondé sur l' art. 93 al. 1 LTF est ainsi d'emblée irrecevable.</w:t>
      </w:r>
    </w:p>
    <w:p>
      <w:r>
        <w:rPr>
          <w:b/>
        </w:rPr>
        <w:t>E. 4</w:t>
      </w:r>
    </w:p>
    <w:p>
      <w:r>
        <w:t>Dans ces circonstances, le présent recours doit être traité selon la procédure simplifiée prévue à l' art. 108 al. 1 let. a LTF . Faute de chance de succès du recours, la requête d'assistance judiciaire pour la procédure fédérale déposée par le recourant ne saurait être agréée ( art. 64 al. 1 LTF ). Les frais judiciaires, arrêtés à 300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