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5A_668/2024 vom 8. Oktober 2024</w:t>
      </w:r>
    </w:p>
    <w:p>
      <w:r>
        <w:t>Bundesgericht, 2024-10-08, DE</w:t>
      </w:r>
    </w:p>
    <w:p>
      <w:r>
        <w:rPr>
          <w:b/>
        </w:rPr>
        <w:t xml:space="preserve">Quelle: </w:t>
      </w:r>
      <w:r>
        <w:t>https://mcp.opencaselaw.ch/entscheid/bger_5A_668_2024</w:t>
      </w:r>
    </w:p>
    <w:p>
      <w:r>
        <w:t>FR: TF 5A_668/2024 du 8 octobre 2024</w:t>
      </w:r>
    </w:p>
    <w:p>
      <w:r>
        <w:t>IT: TF 5A_668/2024 del 8 ottobre 2024</w:t>
      </w:r>
    </w:p>
    <w:p>
      <w:pPr>
        <w:pStyle w:val="Heading2"/>
      </w:pPr>
      <w:r>
        <w:t>Erwägungen</w:t>
      </w:r>
    </w:p>
    <w:p>
      <w:r>
        <w:rPr>
          <w:b/>
        </w:rPr>
        <w:t>E. 1</w:t>
      </w:r>
    </w:p>
    <w:p>
      <w:r>
        <w:t>Angefochten ist der kantonal letztinstanzliche Nichteintretensentscheid betreffend vorsorglicher Sistierung des Besuchsrechts. Die Beschwerde in Zivilsachen steht offen (Art. 72 Abs. 2 lit. b Ziff. 6, Art. 75 Abs. 1 und Art. 90 BGG ), aber es kann nur die Verletzung verfassungsmässiger Rechte gerügt werden ( Art. 98 BGG ). Zudem ist der mögliche Anfechtungsgegenstand auf die Frage beschränkt, ob das Kantonsgericht zu Recht auf die Beschwerde gegen den KESB-Entscheid nicht eingetreten ist ( BGE 135 II 38 E. 1.2; 139 II 233 E. 3.2). Diesbezüglich hat die Beschwerde auch ein Rechtsbegehren zu enthalten ( Art. 42 Abs. 1 BGG ).</w:t>
      </w:r>
    </w:p>
    <w:p>
      <w:r>
        <w:rPr>
          <w:b/>
        </w:rPr>
        <w:t>E. 2</w:t>
      </w:r>
    </w:p>
    <w:p>
      <w:r>
        <w:t>Der Beschwerde lässt sich höchstens sinngemäss ein Anfechtungswille entnehmen. Sie enthält kein Rechtsbegehren und ein Zusammenhang zwischen den weitschweifigen Ausführungen und dem möglichen Anfechtungsthema ist nicht auszumachen. Geschweige denn werden Verfassungsrügen erhoben.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