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5A_666/2019 vom 3. September 2019</w:t>
      </w:r>
    </w:p>
    <w:p>
      <w:r>
        <w:t>Bundesgericht, 2019-09-03, DE</w:t>
      </w:r>
    </w:p>
    <w:p>
      <w:r>
        <w:rPr>
          <w:b/>
        </w:rPr>
        <w:t xml:space="preserve">Quelle: </w:t>
      </w:r>
      <w:r>
        <w:t>https://mcp.opencaselaw.ch/entscheid/bger_5A_666_2019</w:t>
      </w:r>
    </w:p>
    <w:p>
      <w:r>
        <w:t>FR: TF 5A_666/2019 du 3 septembre 2019</w:t>
      </w:r>
    </w:p>
    <w:p>
      <w:r>
        <w:t>IT: TF 5A_666/2019 del 3 settembre 2019</w:t>
      </w:r>
    </w:p>
    <w:p>
      <w:pPr>
        <w:pStyle w:val="Heading2"/>
      </w:pPr>
      <w:r>
        <w:t>Erwägungen</w:t>
      </w:r>
    </w:p>
    <w:p>
      <w:r>
        <w:rPr>
          <w:b/>
        </w:rPr>
        <w:t>E. 1</w:t>
      </w:r>
    </w:p>
    <w:p>
      <w:r>
        <w:t>Die Vorinstanz ist auf das Rechtsmittel der Beschwerdeführerin nicht eingetreten. Streitgegenstand des bundesgerichtlichen Verfahrens kann deshalb grundsätzlich nur die Frage bilden, ob zu Recht ein Nichteintretensentscheid erging ( BGE 135 II 38 E. 1.2 S. 41). Insofern als sich die Beschwerdeführerin zu anderem äussert, insbesondere zur Sache selbst, oder weitergehende Begehren stellt, ist darauf von vornherein nicht einzutreten ( BGE 142 I 155 E. 4.4.2 S. 156).</w:t>
      </w:r>
    </w:p>
    <w:p>
      <w:r>
        <w:rPr>
          <w:b/>
        </w:rPr>
        <w:t>E. 2</w:t>
      </w:r>
    </w:p>
    <w:p>
      <w:r>
        <w:t>Soweit die Beschwerdeführerin geltend macht, das Obergericht habe mit Mehrheitsentscheid zu befinden, setzt sie sich nicht mit dem Verweis im angefochtenen Entscheid auf Art. 32 Abs. 1 lit. b Justizgesetz/AR auseinander, wonach der Prozessentscheid bei fehlenden Eintretensvoraussetzungen in die einzelrichterliche Kompetenz fällt. Da es sich hierbei um eine kantonal-rechtliche Grundlage handelt, wären überdies Verfassungsrügen erforderlich (vgl. BGE 139 III 225 E. 2.3 S. 231; 139 III 252 E. 1.4 S. 254; 142 II 369 E. 2.1 S. 372).</w:t>
      </w:r>
    </w:p>
    <w:p>
      <w:r>
        <w:t>Im Übrigen werden diverse Verfassungsbestimmungen als verletzt angerufen (Grundsätze rechtsstaatlichen Handelns, Eigentumsgarantie, Gehörsverletzung, Willkürverbot, Diskriminierungsverbot, Recht auf Hilfe in Notlagen, Zwangsarbeit zufolge bislang unbezahlter Tätigkeit für den Nachlass), dies indes in der Sache selbst bzw. im Zusammenhang mit dem Vorwurf, zufolge Nichteintretens habe das Obergericht sie mit ihren Anliegen gar nicht erst gehört. Dies ist jedoch die zwangsläufige Folge des Nichteintretensentscheides, dessen Unrechtmässigkeit vorab darzutun wäre.</w:t>
      </w:r>
    </w:p>
    <w:p>
      <w:r>
        <w:t>Insgesamt begründet die Beschwerdeführerin nicht, an welchen Mängeln der (zufolge Nichtleistung des Kostenvorschusses nach abgewiesenem Gesuch um unentgeltliche Rechtspflege ergangene) obergerichtliche Nichteintretensentscheid leiden soll, weshalb ihre Beschwerde abzuweisen ist, soweit darauf überhaupt eingetreten werden kann.</w:t>
      </w:r>
    </w:p>
    <w:p>
      <w:r>
        <w:rPr>
          <w:b/>
        </w:rPr>
        <w:t>E. 3</w:t>
      </w:r>
    </w:p>
    <w:p>
      <w:r>
        <w:t>Mit dem Entscheid in der Sache wird das Gesuch um aufschiebende Wirkung gegenstandslos.</w:t>
      </w:r>
    </w:p>
    <w:p>
      <w:r>
        <w:rPr>
          <w:b/>
        </w:rPr>
        <w:t>E. 4</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5</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