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5A_664/2024 vom 3. Oktober 2024</w:t>
      </w:r>
    </w:p>
    <w:p>
      <w:r>
        <w:t>Bundesgericht, 2024-10-03, DE</w:t>
      </w:r>
    </w:p>
    <w:p>
      <w:r>
        <w:rPr>
          <w:b/>
        </w:rPr>
        <w:t xml:space="preserve">Quelle: </w:t>
      </w:r>
      <w:r>
        <w:t>https://mcp.opencaselaw.ch/entscheid/bger_5A_664_2024</w:t>
      </w:r>
    </w:p>
    <w:p>
      <w:r>
        <w:t>FR: TF 5A_664/2024 du 3 octobre 2024</w:t>
      </w:r>
    </w:p>
    <w:p>
      <w:r>
        <w:t>IT: TF 5A_664/2024 del 3 ottobre 2024</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seinen Nichteintretensentscheid damit begründet, dass der Entscheid der burgerlichen KESB am 14. August 2024 zugestellt worden und die erst am 18. September 2024 der Post übergebene Beschwerde verspätet sei; im Übrigen sei es für die Beurteilung des geltend gemachten Anspruches aus ungerechtfertigter Bereicherung ohnehin nicht zuständig.</w:t>
      </w:r>
    </w:p>
    <w:p>
      <w:r>
        <w:rPr>
          <w:b/>
        </w:rPr>
        <w:t>E. 3</w:t>
      </w:r>
    </w:p>
    <w:p>
      <w:r>
        <w:t>Der Beschwerdeführer setzt sich mit diesen Erwägungen nicht auseinander, sondern behauptet am möglichen Anfechtungsgegenstand vorbei, der KESB-Entscheid sei von einer Behördenschreiberin und damit nicht rechtsgültig unterzeichnet, weshalb er keine Rechtskraft entfalten könne; im Übrigen wird bemängelt, das Obergericht handle boshaft, willkürlich, diskriminierend sowie gegen Moral und Sitte verstossend. Damit ist nicht dargetan, inwiefern Recht verletzt worden sein soll, wenn das Obergericht auf die verspätet eingereichte Beschwerde nicht eingetreten ist.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