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5A_664/2023 vom 21. September 2023</w:t>
      </w:r>
    </w:p>
    <w:p>
      <w:r>
        <w:t>Bundesgericht, 2023-09-21, DE</w:t>
      </w:r>
    </w:p>
    <w:p>
      <w:r>
        <w:rPr>
          <w:b/>
        </w:rPr>
        <w:t xml:space="preserve">Quelle: </w:t>
      </w:r>
      <w:r>
        <w:t>https://mcp.opencaselaw.ch/entscheid/bger_5A_664_2023</w:t>
      </w:r>
    </w:p>
    <w:p>
      <w:r>
        <w:t>FR: TF 5A_664/2023 du 21 septembre 2023</w:t>
      </w:r>
    </w:p>
    <w:p>
      <w:r>
        <w:t>IT: TF 5A_664/2023 del 21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letztinstanzliches Urteil betreffend Mitwirkung der Behörde bei der Teilung; die Beschwerde in Zivilsachen steht offen ( Art. 72 Abs. 1, Art. 75 Abs. 1 und Art. 90 BGG ).</w:t>
      </w:r>
    </w:p>
    <w:p>
      <w:r>
        <w:rPr>
          <w:b/>
        </w:rPr>
        <w:t>E. 2</w:t>
      </w:r>
    </w:p>
    <w:p>
      <w:r>
        <w:t>Das angefochtene Urteil wurde dem Beschwerdeführer am 14. Juli 2023 zugestellt. Unter Berücksichtigung der Gerichtsferien ( Art. 46 Abs. 1 lit. b BGG ) ist die 30-tägige Beschwerdefrist ( Art. 100 Abs. 1 BGG ) mit der Beschwerde vom 10. September 2023 eingehalten. Allerdings enthält diese weder ein Rechtsbegehren noch eine Begründung ( Art. 42 Abs. 1 und 2 BGG ) und eine solche wurde entgegen der Ankündigung auch nicht innert der Beschwerdefrist nachgereicht.</w:t>
      </w:r>
    </w:p>
    <w:p>
      <w:r>
        <w:rPr>
          <w:b/>
        </w:rPr>
        <w:t>E. 3</w:t>
      </w:r>
    </w:p>
    <w:p>
      <w:r>
        <w:t>Die Beschwerde ist bzw. bleibt damit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