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663/2022 vom 10. Oktober 2022</w:t>
      </w:r>
    </w:p>
    <w:p>
      <w:r>
        <w:t>Bundesgericht, 2022-10-10, FR</w:t>
      </w:r>
    </w:p>
    <w:p>
      <w:r>
        <w:rPr>
          <w:b/>
        </w:rPr>
        <w:t xml:space="preserve">Quelle: </w:t>
      </w:r>
      <w:r>
        <w:t>https://mcp.opencaselaw.ch/entscheid/bger_5A_663_2022</w:t>
      </w:r>
    </w:p>
    <w:p>
      <w:r>
        <w:t>FR: TF 5A 663/2022 du 10 octobre 2022</w:t>
      </w:r>
    </w:p>
    <w:p>
      <w:r>
        <w:t>IT: TF 5A 663/2022 del 10 ottobre 2022</w:t>
      </w:r>
    </w:p>
    <w:p>
      <w:pPr>
        <w:pStyle w:val="Heading2"/>
      </w:pPr>
      <w:r>
        <w:t>Regeste</w:t>
      </w:r>
    </w:p>
    <w:p>
      <w:r>
        <w:t>capacité de postuler, récusation | Droits réels</w:t>
      </w:r>
    </w:p>
    <w:p>
      <w:pPr>
        <w:pStyle w:val="Heading2"/>
      </w:pPr>
      <w:r>
        <w:t>Erwägungen</w:t>
      </w:r>
    </w:p>
    <w:p>
      <w:r>
        <w:rPr>
          <w:b/>
        </w:rPr>
        <w:t>E. 1.1</w:t>
      </w:r>
    </w:p>
    <w:p>
      <w:r>
        <w:t>La décision attaquée n'est pas finale au sens de l' art. 90 al. 1 LTF . Dans la mesure où, quoi qu'en dise le recourant, elle ne porte ni sur la compétence ni sur la composition de l'autorité (cf. art. 92 LTF ), elle doit être rangée parmi les autres décisions incidentes au sens de l' art. 93 LTF . Une telle décision peut faire l'objet d'un recours immédiat au Tribunal fédéral uniquement si elle peut causer un préjudice irréparable ( art. 93 al. 1 let. a LTF ), l'hypothèse envisagée par l' art. 93 al. 1 let. b LTF n'entrant en l'occurrence pas en ligne de compte. 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Le Tribunal fédéral renonce à l'exigence d'un préjudice irréparable lorsque la partie recourante expose et rend vraisemblable que l'ordonnance qu'elle conteste entraînera une violation du principe de célérité, c'est-à-dire du droit de tout justiciable à ce que sa cause soit jugée dans un délai raisonnable, garanti par l' art. 29 al. 1 Cst. ( ATF 143 III 416 consid. 1.4; 138 IV 258 consid. 1.1; 138 III 190 consid. 6). En l'espèce, le recourant se réfère au principe de célérité. Il s'attache à démontrer que la décision querellée revient à retarder de manière inadmissible la décision sur la récusation de la juge de première instance, alors que, comme le juge précédent l'avait expressément admis dans un courrier antérieur du 30 juin 2022, il convenait de statuer " avant tout " sur cette question. Au vu des explications du recourant, il n'est pas exclu que le principe de célérité soit remis en cause. Le recours est ainsi recevable sous cet angle.</w:t>
      </w:r>
    </w:p>
    <w:p>
      <w:r>
        <w:rPr>
          <w:b/>
        </w:rPr>
        <w:t>E. 1.2</w:t>
      </w:r>
    </w:p>
    <w:p>
      <w:r>
        <w:t>Pour le surplus, les conditions de recevabilité du recours en matière civile sont réalisées, notamment celles afférentes à la valeur litigieuse minimale de 30'000 fr. ( art. 74 al. 1 let. b LTF ) au vu des explications données par le recourant et au délai de recours ( art. 100 al. 1 LTF ). Il s'ensuit l'irrecevabilité du recours constitutionnel subsidiaire ( art. 113 LTF ).</w:t>
      </w:r>
    </w:p>
    <w:p>
      <w:r>
        <w:rPr>
          <w:b/>
        </w:rPr>
        <w:t>E. 2.1</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(cf. ATF 141 IV 244 consid. 1.2.1; 138 IV 81 consid. 2.2; 135 II 145 consid. 8.2; arrêt 2C_409/2022 du 8 septembre 2022 consid. 7.1 et l'autre référence).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(arrêt 2C_409/2022 précité loc. cit. et les références). 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(arrêts 2C_1057/2020 du 17 août 2021 consid. 3.3; 5A_593/2015 du 6 octobre 2015 consid. 2; 1C_435/2015 du 17 septembre 2015 consid. 2). En présence de tels vices, il peut être procédé selon l' art. 112 al. 3 LTF sans ordonner préalablement d'échange d'écritures (arrêt 8C_298/2016 du 30 novembre 2016 consid. 5.1; cf. aussi BOVEY, in Commentaire de la LTF, 3ème éd. 2022, n° 63 ad art. 112 LTF et les autres arrêts cités).</w:t>
      </w:r>
    </w:p>
    <w:p>
      <w:r>
        <w:rPr>
          <w:b/>
        </w:rPr>
        <w:t>E. 2.2</w:t>
      </w:r>
    </w:p>
    <w:p>
      <w:r>
        <w:t>En l'occurrence, l'ordonnance attaquée ne contient aucun élément de fait, pas même une présentation de la procédure indiquant notamment quelle décision aurait été reconsidérée (" à la réflexion "), et l'exposé du raisonnement juridique est inexistant, ce qui entrave un contrôle par le Tribunal de céans de son bien-fondé. Dans ces conditions, il y a lieu d'annuler l'ordonnance attaquée et de renvoyer la cause à l'autorité précédente (cf. art. 112 al. 3 LTF ). Il lui appartiendra de rendre une nouvelle décision satisfaisant aux exigences posées par la loi en matière de motivation en fait et en droit.</w:t>
      </w:r>
    </w:p>
    <w:p>
      <w:r>
        <w:rPr>
          <w:b/>
        </w:rPr>
        <w:t>E. 3</w:t>
      </w:r>
    </w:p>
    <w:p>
      <w:r>
        <w:t>Compte tenu de l'issue du litige, les frais judiciaires sont mis à la charge du canton de Fribourg ( art. 66 al. 3 LTF ; arrêt 5A_580/2017 du 28 août 2017 consid. 4), qui versera en outre des dépens au recourant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