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5A_662/2013 vom 24. Juni 2014</w:t>
      </w:r>
    </w:p>
    <w:p>
      <w:r>
        <w:t>Bundesgericht, 2014-06-24, FR</w:t>
      </w:r>
    </w:p>
    <w:p>
      <w:r>
        <w:rPr>
          <w:b/>
        </w:rPr>
        <w:t xml:space="preserve">Quelle: </w:t>
      </w:r>
      <w:r>
        <w:t>https://mcp.opencaselaw.ch/entscheid/bger_5A_662_2013</w:t>
      </w:r>
    </w:p>
    <w:p>
      <w:r>
        <w:t>FR: TF 5A_662/2013 du 24 juin 2014</w:t>
      </w:r>
    </w:p>
    <w:p>
      <w:r>
        <w:t>IT: TF 5A_662/2013 del 24 giugno 2014</w:t>
      </w:r>
    </w:p>
    <w:p>
      <w:pPr>
        <w:pStyle w:val="Heading2"/>
      </w:pPr>
      <w:r>
        <w:t>Erwägungen</w:t>
      </w:r>
    </w:p>
    <w:p>
      <w:r>
        <w:rPr>
          <w:b/>
        </w:rPr>
        <w:t>E. 1</w:t>
      </w:r>
    </w:p>
    <w:p>
      <w:r>
        <w:t>Le recours est dirigé contre une décision finale ( art. 90 LTF ) prise en matière civile ( art. 72 al. 1 LTF ) par l'autorité cantonale de dernière instance statuant sur recours ( art. 75 al. 1 et 2 LTF ). La valeur litigieuse minimale est par ailleurs atteinte (art. 51 al. 1 let. a et al. 4, 74 al. 1 let. b LTF). Interjeté en temps utile (art. 46 al. 1 let. b et 100 al. 1 LTF) et en la forme prévue par la loi ( art. 42 LTF ), par la partie qui a succombé dans ses conclusions en instance cantonale (cf. art. 76 al. 1 LTF ), le recours est en outre recevable sous l'angle de ces dispositions.</w:t>
      </w:r>
    </w:p>
    <w:p>
      <w:r>
        <w:rPr>
          <w:b/>
        </w:rPr>
        <w:t>E. 2.1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w:t>
      </w:r>
    </w:p>
    <w:p>
      <w:r>
        <w:rPr>
          <w:b/>
        </w:rPr>
        <w:t>E. 2.2</w:t>
      </w:r>
    </w:p>
    <w:p>
      <w:r>
        <w:t>Le Tribunal fédéral doit conduire son raisonnement juridique sur la base des faits constatés dans la décision attaquée ( art. 105 al. 1 LTF ). Les allégations de fait et les moyens de preuve nouveaux sont en principe irrecevables ( art. 99 al. 1 LTF ), même lorsque la maxime inquisitoire est applicable, ce qui est le cas s'agissant du sort des enfants ( ATF 120 II 229 consid. 1c p. 231/232).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3</w:t>
      </w:r>
    </w:p>
    <w:p>
      <w:r>
        <w:t>Le recourant reproche à l'autorité cantonale de ne pas avoir tenu compte, à titre de revenu hypothétique, du salaire précédemment réalisé en Suisse par le père et de s'être fondée sur celui désormais perçu en France (1'750 euros ou 2'170 francs suisses). Il se plaint d'une constatation arbitraire des faits et d'une violation des art. 285 et 286 CC .</w:t>
      </w:r>
    </w:p>
    <w:p>
      <w:r>
        <w:rPr>
          <w:b/>
        </w:rPr>
        <w:t>E. 3.1</w:t>
      </w:r>
    </w:p>
    <w:p>
      <w:r>
        <w:t>Admettant un changement durable et notable des circonstances de vie et de la situation économique du père, point qui n'était pas contesté, la Cour suprême du canton de Berne a réduit les aliments à 295 fr. par mois du 1</w:t>
      </w:r>
    </w:p>
    <w:p>
      <w:r>
        <w:t>er décembre 2011 au 30 juin 2012 et à 255 fr. dès le 1</w:t>
      </w:r>
    </w:p>
    <w:p>
      <w:r>
        <w:t>er juillet 2012 jusqu'à la majorité de l'enfant.</w:t>
      </w:r>
    </w:p>
    <w:p>
      <w:r>
        <w:t>S'agissant du calcul de cette contribution, elle a considéré en substance que la prise en considération d'un revenu hypothétique " de niveau suisse " reviendrait à punir le débirentier pour son choix de vie alors qu'il avait démontré avoir suffisamment de raisons personnelles et sociales de s'établir en France.</w:t>
      </w:r>
    </w:p>
    <w:p>
      <w:r>
        <w:t>Elle a ensuite jugé que, dans la mesure où la décision de vivre désormais en France ne souffrait aucun reproche, il n'y avait pas lieu de déterminer si le débirentier aurait eu la possibilité effective de retrouver un travail en Suisse. Elle a néanmoins relevé, " à titre d'obiter dictum ", que la recherche d'un emploi n'aurait pas forcément été chose aisée vu les circonstances du licenciement.</w:t>
      </w:r>
    </w:p>
    <w:p>
      <w:r>
        <w:t>En conclusion, elle a retenu que la prise en considération d'un revenu hypothétique " de niveau suisse " n'était pas admissible et que la contribution d'entretien ne pouvait dès lors être calculée sur la base du salaire suisse précédemment réalisé ou qui pourrait être obtenu.</w:t>
      </w:r>
    </w:p>
    <w:p>
      <w:r>
        <w:t>Cela étant, après avoir exclu que le père puisse réaliser un salaire plus élevé en France, elle s'est fondée sur le revenu effectivement obtenu dans ce pays, à savoir 1'750 euros correspondant à 2'170 francs suisses.</w:t>
      </w:r>
    </w:p>
    <w:p>
      <w:r>
        <w:rPr>
          <w:b/>
        </w:rPr>
        <w:t>E. 3.2</w:t>
      </w:r>
    </w:p>
    <w:p>
      <w:r>
        <w:t>La modification ou la suppression de la contribution d'entretien de l'enfant né hors mariage, fixée dans une convention homologuée, est régie par l' art. 286 al. 2 CC . Elle suppose - condition qui a été admise - que des faits nouveaux importants et durables soient survenus dans la situation du débirentier, qui commandent une réglementation différente ( ATF 137 III 604 consid. 4.1.1 p. 606; 131 III 189 consid. 2.7.4 p. 199).</w:t>
      </w:r>
    </w:p>
    <w:p>
      <w:r>
        <w:rPr>
          <w:b/>
        </w:rPr>
        <w:t>E. 3.2.1</w:t>
      </w:r>
    </w:p>
    <w:p>
      <w:r>
        <w:t>Selon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p. 121;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5A_165/2013 du 28 août 2013 consid. 4.1; 5A_99/2011 du 26 septembre 2011 consid. 7.4.1 publié in: FamPra.ch 2012 p. 228).</w:t>
      </w:r>
    </w:p>
    <w:p>
      <w:r>
        <w:t>Autrement dit,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 5A_587/2013 du 26 novembre 2013 consid. 6.1.1 in fine et les références).</w:t>
      </w:r>
    </w:p>
    <w:p>
      <w:r>
        <w:rPr>
          <w:b/>
        </w:rPr>
        <w:t>E. 3.2.2</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w:t>
      </w:r>
    </w:p>
    <w:p>
      <w:r>
        <w:rPr>
          <w:b/>
        </w:rPr>
        <w:t>E. 3.3</w:t>
      </w:r>
    </w:p>
    <w:p>
      <w:r>
        <w:t>En l'espèce, le 28 février 2011, l'intimé est parti s'établir, avec son amie et leur fille née en décembre 2008, en Bretagne d'où il est originaire et où vivent ses parents ainsi que son frère. Cette modification de ses conditions de vie ont eu pour conséquence une diminution de son revenu, le salaire perçu en France étant nettement inférieur (1'750 euros ou 2'170 francs suisses) à celui réalisé en Suisse avant le licenciement (5'977 fr. 90).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5A_98/2007 du 8 juin 2007 consid. 3.3 et l'arrêt cité 5C.154/1996 du 2 septembre 1997 consid. 3b).</w:t>
      </w:r>
    </w:p>
    <w:p>
      <w:r>
        <w:t>Dans le cas présent, il résulte de l'arrêt entrepris que le père, qui est âgé d'une quarantaine d'années, a vécu et travaillé en Suisse pendant près de treize ans (de 1998 à 2011). C'est dans ce pays qu'il a fondé ses deux familles successives, que sont nés son fils et sa première fille, et qu'il a fait son parcours professionnel. Au bénéfice d'un diplôme français d'infirmier, reconnu par la Croix-Rouge Suisse en 2002, il a en effet suivi plusieurs formations, dont une d'infirmier chef d'unités de soins. En juin 2004, il a été engagé dans un home en qualité d'infirmier, puis d'infirmier chef d'unités de soins. Dès le 1</w:t>
      </w:r>
    </w:p>
    <w:p>
      <w:r>
        <w:t>er avril 2008 jusqu'à son licenciement, il a occupé un poste d'infirmier en psychiatrie dans une clinique neuchâteloise.</w:t>
      </w:r>
    </w:p>
    <w:p>
      <w:r>
        <w:t>Pour justifier son départ, l'intimé a allégué penser ne plus pouvoir trouver de travail à la suite de sa faute professionnelle et au vu du peu de places disponibles dans sa branche dans le canton de Neuchâtel, et ne pas vouloir être un cas social pour la Suisse. Certes, après avoir été suspendu de ses fonctions avec effet immédiat le 19 janvier 2011, il a vu son contrat de travail être résilié avec effet immédiat le 27 janvier 2011 pour faute professionnelle, soit pour avoir entretenu une relation inappropriée avec l'une de ses patientes. Il appert toutefois qu'il est parti quatre semaines après la résiliation de son contrat de travail, sans avoir procédé à de véritables recherches d'emploi ni déposé de postulation. Il résulte de la décision attaquée qu'il s'est contenté de regarder les offres de travail dans le canton de Neuchâtel, et uniquement dans le domaine de la psychiatrie. A cela s'ajoute qu'il a quitté la Suisse alors qu'il n'avait aucune perspective professionnelle en France. Ce n'est en effet qu'à partir du mois de juillet 2011 qu'il a trouvé du travail dans ce dernier pays, où il a par ailleurs connu très rapidement une période de chômage entre novembre 2011 et mars 2012.</w:t>
      </w:r>
    </w:p>
    <w:p>
      <w:r>
        <w:t>Il faut admettre qu'en choisissant de quitter la Suisse dans de telles circonstances, alors même qu'il devait assumer une charge d'entretien et qu'il y avait fondé une nouvelle famille, pour un pays où les salaires dans son domaine professionnel sont notoirement inférieurs et où sa formation n'était pas reconnue, l'intimé n'a pas épuisé réellement sa capacité maximale de travail. On ne peut considérer qu'il a concrètement entrepris tout ce qui pouvait raisonnablement être attendu de lui pour retrouver une activité professionnelle en Suisse, y compris dans un domaine exigeant moins de qualifications que la fonction qu'il exerçait avant son licenciement, telle qu'il a pu trouver en France (" infirmier de classe normale " dans une maison de retraite), lui procurant un revenu suffisant pour assumer son obligation alimentaire envers son enfant mineur. Le seul fait qu'il ait été licencié avec effet immédiat n'excluait pas d'emblée toute activité lucrative en Suisse, par exemple dans un autre canton, ou dans un autre domaine que les soins psychiatriques.</w:t>
      </w:r>
    </w:p>
    <w:p>
      <w:r>
        <w:t>Cela étant, dans son appréciation des faits, la cour cantonale a violé le droit en refusant de tenir compte, dans son principe, d'un revenu hypothétique " de niveau suisse ". Dès lors qu'elle n'a pas examiné si l'intimé a la possibilité effective de retrouver un travail dans le secteur infirmier ou un autre domaine en Suisse et quel revenu il pourrait en obtenir, compte tenu des circonstances subjectives susmentionnées et du marché du travail, il y a lieu de renvoyer la cause à l'autorité cantonale pour qu'elle discute cette question, la seule indication, formulée à titre d'obiter dictum, selon laquelle la recherche d'un emploi n'aurait pas forcément été chose aisée vu les motifs du licenciement ne suffisant à cet égard pas.</w:t>
      </w:r>
    </w:p>
    <w:p>
      <w:r>
        <w:rPr>
          <w:b/>
        </w:rPr>
        <w:t>E. 4</w:t>
      </w:r>
    </w:p>
    <w:p>
      <w:r>
        <w:t>Vu ce qui précède, le recours doit être admis et la cause être renvoyée à l'autorité cantonale pour nouvelle décision dans le sens des considérants.</w:t>
      </w:r>
    </w:p>
    <w:p>
      <w:r>
        <w:t>Il y a lieu d'admettre les requêtes d'assistance judiciaire des parties. La condition de l'indigence est en effet manifestement remplie tant pour le recourant que pour l'intimé; leurs conclusions respectives n'apparaissaient en outre pas manifestement vouées à l'échec ( art. 64 LTF ). Vu l'issue du recours, les frais judiciaires seront mis à la charge de l'intimé ( art. 66 al. 1 LTF ), mais seront provisoirement supportés par la Caisse du Tribunal fédéral. Compte tenu de la situation financière de l'intimé, il convient en outre de prévoir d'emblée l'indemnisation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