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5A_661/2010 vom 19. Oktober 2010</w:t>
      </w:r>
    </w:p>
    <w:p>
      <w:r>
        <w:t>Bundesgericht, 2010-10-19, FR</w:t>
      </w:r>
    </w:p>
    <w:p>
      <w:r>
        <w:rPr>
          <w:b/>
        </w:rPr>
        <w:t xml:space="preserve">Quelle: </w:t>
      </w:r>
      <w:r>
        <w:t>https://mcp.opencaselaw.ch/entscheid/bger_5A_661_2010</w:t>
      </w:r>
    </w:p>
    <w:p>
      <w:r>
        <w:t>FR: TF 5A_661/2010 du 19 octobre 2010</w:t>
      </w:r>
    </w:p>
    <w:p>
      <w:r>
        <w:t>IT: TF 5A_661/2010 del 19 ottobre 2010</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p. 395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 Le recours en matière civile est donc en principe recevable.</w:t>
      </w:r>
    </w:p>
    <w:p>
      <w:r>
        <w:rPr>
          <w:b/>
        </w:rPr>
        <w:t>E. 1.2</w:t>
      </w:r>
    </w:p>
    <w:p>
      <w:r>
        <w:t>Comme l'arrêt attaqué porte sur des mesures provisionnelles au sens de l' art. 98 LTF ( ATF 133 III 393 consid. 5 p. 396, 585 consid. 3.3 p. 587),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p. 287). Il n'entre pas en matière sur les critiques de nature appellatoire ( ATF 133 III 589 consid. 2 p. 591/592).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 ATF 134 II 349 consid. 3 p. 352 et les arrêts cités).</w:t>
      </w:r>
    </w:p>
    <w:p>
      <w:r>
        <w:t>Quant à l'appréciation des preuves et la constatation des faits, le Tribunal fédéral se montre réservé, vu le large pouvoir qu'il reconnaît en la matière aux autorités cantonales ( ATF 120 Ia 31 consid. 4b p. 40; 104 Ia 381 consid. 9 p. 399 et les arrêts cités).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134 I 221 consid. 2.1; 129 I 8 consid. 2.1 p. 9); encore faut-il que la correction du vice soit susceptible d'influer sur le sort de la cause (art. 97 al. 1 in fine LTF).</w:t>
      </w:r>
    </w:p>
    <w:p>
      <w:r>
        <w:rPr>
          <w:b/>
        </w:rPr>
        <w:t>E. 2</w:t>
      </w:r>
    </w:p>
    <w:p>
      <w:r>
        <w:t>S'agissant de l'attribution de la garde de l'enfant, la cour cantonale a considéré que le premier juge avait fait abstraction des raisons multiples qui ont fondé la décision du père de démissionner de son poste en 2007, entérinée par le document signé par les parties le 17 avril 2007, et du fait que celui-ci était susceptible d'adaptation selon l'évolution des circonstances. L'enfant, qui a désormais effectué sa première année en école primaire, a des contraintes horaires moins exigeantes qu'en 2007; par ailleurs, il a été inscrit durant toute l'année scolaire 2009-2010 avec l'accord du père aux cuisines scolaires et a été pris en charge par une maman de jour jusqu'au retour de la mère de son travail. Selon le rapport du SPMi du 12 janvier 2010, il a trouvé un équilibre dans cette organisation de son quotidien. Le budget lié à cet aménagement, à savoir 856 fr. (136 fr. de cuisines scolaires + 720 fr. de maman de jour), est désormais inférieur à celui qui aurait dû être consacré à sa garde étendue lorsqu'il était plus petit et ne justifie donc plus le choix d'une suspension de l'activité professionnelle de l'un de ses parents. Enfin, la mère a réussi à réduire son taux d'activité à 80% alors que ce n'était pas envisageable en 2007. A cela s'ajoute qu'avant que le père ne cesse de travailler en juillet 2007, l'enfant était pris en charge par des tiers, sans qu'il soit allégué qu'il le vivait mal. Il ne saurait donc être retenu que le père a été empêché de travailler pour cette raison. Selon la cour cantonale, force est de constater que les circonstances qui avaient conduit les parties à décider de la démission du père en 2007 ne sont plus réalisées, de sorte que l'accord qu'elles avaient passé ne peut plus fonder à lui seul l'attribution de la garde de l'enfant au père. Or, l'enfant vit, depuis la séparation des parties en août 2009, avec sa mère qui a organisé son quotidien d'une manière qui semble, de l'avis de tous les intervenants, lui convenir. Qui plus est, celle-ci est plus impliquée dans le quotidien de l'enfant et dans son suivi scolaire que le père et a réussi à réduire son taux d'activité afin d'avoir un jour de congé. Enfin, rien n'autorise à penser que le SPMi n'a pas tenu compte de la disponibilité du père avant de préconiser l'attribution de la garde à la mère. Dans ces circonstances, il n'existe, selon la cour cantonale, aucune raison de ne pas suivre l'avis du SPMi, service spécialisé dans l'évaluation des besoins de l'enfant.</w:t>
      </w:r>
    </w:p>
    <w:p>
      <w:r>
        <w:rPr>
          <w:b/>
        </w:rPr>
        <w:t>E. 3</w:t>
      </w:r>
    </w:p>
    <w:p>
      <w:r>
        <w:t>Le recourant fait grief à la cour cantonale d'avoir méconnu les principes jurisprudentiels applicables à l'attribution du droit de garde des enfants, en particulier le fait que, à qualités éducatives égales, il conviendrait d'octroyer le droit de garde au parent qui est le plus disponible à prendre soin personnellement des enfants, ce critère étant considéré comme primordial par la jurisprudence. Or, en l'espèce, il serait en mesure de s'occuper personnellement et de façon prépondérante de son fils, alors que l'intimée est obligée d'avoir recours aux cuisines scolaires et à la garderie parascolaire. En outre, il serait conforme au principe de la continuité de la prise en charge de l'enfant, telle que connue avant la séparation des parties, qu'il continue d'assumer le rôle de père au foyer, afin que l'enfant bénéficie de sa présence, comme par le passé, mange à la maison les midis et rentre à la maison directement après l'école. Enfin, s'agissant de savoir quelle partie est la mieux à même de favoriser les relations entre l'enfant et l'autre parent, le recourant fait valoir que l'intimée se serait montrée particulièrement odieuse à son égard dans ses écritures, une telle attitude en disant long, selon lui, sur son incapacité émotionnelle à faire la part des choses et se concentrer uniquement sur l'intérêt de l'enfant.</w:t>
      </w:r>
    </w:p>
    <w:p>
      <w:r>
        <w:rPr>
          <w:b/>
        </w:rPr>
        <w:t>E. 4</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des enfants à un seul des parents.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par ailleurs similaires ( ATF 136 I 178 consid. 5.3 p. 180 et les arrêts cités).</w:t>
      </w:r>
    </w:p>
    <w:p>
      <w:r>
        <w:rPr>
          <w:b/>
        </w:rPr>
        <w:t>E. 5.1</w:t>
      </w:r>
    </w:p>
    <w:p>
      <w:r>
        <w:t>Lorsque le recourant soutient qu'il convient d'assurer la continuité du système de garde de l'enfant mis en place par les parties durant la vie commune, il se méprend sur la portée de la jurisprudence qui accorde une importance particulière à la stabilité des relations nécessaires à un développement harmonieux de l'enfant des points de vue affectif, psychique, moral et intellectuel. En l'espèce, il résulte de l'arrêt attaqué - sans que le recourant ne fasse grief aux juges précédents d'avoir établi les faits de manière manifestement inexacte sur ces questions (cf. supra, consid. 1.2) - que c'est l'intimée qui, depuis la séparation des parties au mois d'août 2009, s'est occupée de manière prépondérante du fils des parties. Elle a organisé son quotidien d'une manière qui semble, de l'avis de tous les intervenants, convenir à l'enfant; elle est plus impliquée dans son quotidien et dans son suivi scolaire que le père et a réussi à réduire son taux d'activité afin d'avoir un jour de congé. Conformément à la jurisprudence rappelée ci-dessus, c'est cette stabilité, acquise depuis la séparation, qui jouit d'un poids particulier et non la prise en charge décidée par les parties durant la vie commune. Quant à l'argumentation du recourant liée à la prise en charge personnelle de l'enfant, elle ne suffit pas à démontrer que la cour cantonale serait tombée dans l'arbitraire en accordant plus de poids à la stabilité de la garde de l'enfant, ces critères entrant tous deux en ligne de compte lorsqu'il s'agit de déterminer à quel parent la garde d'un enfant doit être confiée. Enfin, lorsque le recourant fait valoir que l'intimée se serait montrée particulièrement odieuse à son égard dans ses écritures, il se fonde sur des faits que l'arrêt cantonal ne constate pas, sans toutefois faire grief aux juges précédents de les avoir établis de manière manifestement incomplète ou inexacte.</w:t>
      </w:r>
    </w:p>
    <w:p>
      <w:r>
        <w:rPr>
          <w:b/>
        </w:rPr>
        <w:t>E. 5.2</w:t>
      </w:r>
    </w:p>
    <w:p>
      <w:r>
        <w:t>Dès lors que le recours est rejeté sur la question de la garde de l'enfant, l'argumentation du recourant relative à l'attribution du domicile conjugal et à la contribution d'entretien due par l'intimée en faveur de sa famille, qui sont dépendantes du fait que la garde de son fils lui soit confiée, est dénuée de pertinence.</w:t>
      </w:r>
    </w:p>
    <w:p>
      <w:r>
        <w:rPr>
          <w:b/>
        </w:rPr>
        <w:t>E. 6</w:t>
      </w:r>
    </w:p>
    <w:p>
      <w:r>
        <w:t>Vu ce qui précède, le recours doit être rejeté. Dans la mesure où il apparaissait d'emblée comme dénué de chance de succès, l'assistance judiciaire ne saurait être octroyée au recourant. Celui-ci supportera ainsi les frais judiciaires ( art. 66 al. 1 LTF ). Enfin, il n'y a pas lieu d'allouer des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