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5A_659/2022 vom 25. Oktober 2022</w:t>
      </w:r>
    </w:p>
    <w:p>
      <w:r>
        <w:t>Bundesgericht, 2022-10-25, FR</w:t>
      </w:r>
    </w:p>
    <w:p>
      <w:r>
        <w:rPr>
          <w:b/>
        </w:rPr>
        <w:t xml:space="preserve">Quelle: </w:t>
      </w:r>
      <w:r>
        <w:t>https://mcp.opencaselaw.ch/entscheid/bger_5A_659_2022</w:t>
      </w:r>
    </w:p>
    <w:p>
      <w:r>
        <w:t>FR: TF 5A_659/2022 du 25 octobre 2022</w:t>
      </w:r>
    </w:p>
    <w:p>
      <w:r>
        <w:t>IT: TF 5A_659/2022 del 25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23 mai 2022, la Présidente du Tribunal d'arrondissement de l'Est vaudois a rejeté la plainte déposée le 3 janvier 2022 par A.________ (débiteur) à l'encontre d'un procès-verbal de saisie établi le 14 décembre 2021 par l'Office des poursuites du district de la Riviera - Pays-d'Enhaut.</w:t>
      </w:r>
    </w:p>
    <w:p>
      <w:r>
        <w:t>Par arrêt du 3 août 2022, la Cour des poursuites et faillites du Tribunal cantonal vaudois a déclaré irrecevable le recours du plaignant.</w:t>
      </w:r>
    </w:p>
    <w:p>
      <w:r>
        <w:rPr>
          <w:b/>
        </w:rPr>
        <w:t>E. 2</w:t>
      </w:r>
    </w:p>
    <w:p>
      <w:r>
        <w:t>Par écriture expédiée le 1er septembre 2022, le plaignant exerce un recours au Tribunal fédéral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est superflu de vérifier les autres conditions de recevabilité - singulièrement l'absence de conclusions ( art. 42 al. 1 LTF ) -, le procédé étant voué à l'échec. A toutes fins utiles, il convient néanmoins de rappeler à l'intéressé que son épouse n'est n'est pas habilitée à le représenter dans la présente procédure ( art. 40 al. 1 LTF ; ATF 134 III 520 et les citations).</w:t>
      </w:r>
    </w:p>
    <w:p>
      <w:r>
        <w:rPr>
          <w:b/>
        </w:rPr>
        <w:t>E. 4.1</w:t>
      </w:r>
    </w:p>
    <w:p>
      <w:r>
        <w:t>En l'espèce, la cour cantonale a retenu que le plaignant formulait toute une série de récriminations à l'égard de l'Office en relation avec la gestion du dossier, mais ne soulevait aucune critique à l'encontre des motifs du premier juge quant au calcul du minimum vital. Faute de répondre aux exigences posées à l' art. 18 LP , elle a déclaré le recours irrecevable.</w:t>
      </w:r>
    </w:p>
    <w:p>
      <w:r>
        <w:rPr>
          <w:b/>
        </w:rPr>
        <w:t>E. 4.2</w:t>
      </w:r>
    </w:p>
    <w:p>
      <w:r>
        <w:t>Pour toute motivation, le recourant fait valoir que, " [a]</w:t>
      </w:r>
    </w:p>
    <w:p>
      <w:r>
        <w:t>près avoir imprimé de multiples dossiers, n'ayant plus le temps d'aller chercher une cartouche d'encre, vu le délai, [il est]</w:t>
      </w:r>
    </w:p>
    <w:p>
      <w:r>
        <w:t>dans l'obligation d'envoyer [au Tribunal fédéral]</w:t>
      </w:r>
    </w:p>
    <w:p>
      <w:r>
        <w:t>ce recours de cette manière ". A l'évidence, une telle argumentation ne respecte en rien les exigences légales, de sorte que le recours est manifestement irrecevable (art. 42 al. 2 et 106 al. 2 LTF; ATF 142 III 364 consid. 2.4, avec les arrêts cités). Quoi qu'en pense l'intéressé - qui annonce l'envoi d'un "</w:t>
      </w:r>
    </w:p>
    <w:p>
      <w:r>
        <w:t>recours complet " -, il est exclu de compléter le mémoire après l'expiration du délai de recours.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du recourant. Cela étant, la requête tendant à la suspension provisoire de la procédure n'a plus d'objet.</w:t>
      </w:r>
    </w:p>
    <w:p>
      <w:r>
        <w:rPr>
          <w:b/>
        </w:rPr>
        <w:t>E. 6</w:t>
      </w:r>
    </w:p>
    <w:p>
      <w:r>
        <w:t>Le recourant est expressément informé que d'ultérieures écritures du même style seront</w:t>
      </w:r>
    </w:p>
    <w:p>
      <w:r>
        <w:t>classées sans suite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