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659/2014 vom 31. Oktober 2014</w:t>
      </w:r>
    </w:p>
    <w:p>
      <w:r>
        <w:t>Bundesgericht, 2014-10-31, FR</w:t>
      </w:r>
    </w:p>
    <w:p>
      <w:r>
        <w:rPr>
          <w:b/>
        </w:rPr>
        <w:t xml:space="preserve">Quelle: </w:t>
      </w:r>
      <w:r>
        <w:t>https://mcp.opencaselaw.ch/entscheid/bger_5A_659_2014</w:t>
      </w:r>
    </w:p>
    <w:p>
      <w:r>
        <w:t>FR: TF 5A 659/2014 du 31 octobre 2014</w:t>
      </w:r>
    </w:p>
    <w:p>
      <w:r>
        <w:t>IT: TF 5A 659/2014 del 31 ottobre 2014</w:t>
      </w:r>
    </w:p>
    <w:p>
      <w:pPr>
        <w:pStyle w:val="Heading2"/>
      </w:pPr>
      <w:r>
        <w:t>Regeste</w:t>
      </w:r>
    </w:p>
    <w:p>
      <w:r>
        <w:t>exécution d'un jugement de divorce | Droit de la famille</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(art. 72 al. 2 let. b ch. 1 et 72 al. 1 LTF) de nature pécuniaire dont la valeur litigieuse atteint 30'000 fr. ( art. 74 al. 1 let. b LTF ); il a par ailleurs été déposé à temps (art. 100 al. 1 et 46 al. 1 let. b LTF), par la partie qui a succombé dans ses conclusions devant l'instance précédente ( art. 76 LTF ), de sorte qu'il est recevable au regard de ces dispositions.</w:t>
      </w:r>
    </w:p>
    <w:p>
      <w:r>
        <w:rPr>
          <w:b/>
        </w:rPr>
        <w:t>E. 2</w:t>
      </w:r>
    </w:p>
    <w:p>
      <w:r>
        <w:t>Le recourant reproche d'abord à la cour cantonale d'avoir refusé de constater le caractère définitif et exécutoire du chiffre IV du jugement de divorce du 26 mai 2010, selon lequel il doit assumer les charges relatives à la villa familiale jusqu'au 31 décembre 2010.</w:t>
      </w:r>
    </w:p>
    <w:p>
      <w:r>
        <w:rPr>
          <w:b/>
        </w:rPr>
        <w:t>E. 2.1</w:t>
      </w:r>
    </w:p>
    <w:p>
      <w:r>
        <w:t>Le Tribunal cantonal a considéré que, dans la mesure où le montant de la contribution de l'épouse n'avait pas encore été arrêté, l'entretien de celle-ci continuait d'être réglé par l'arrêt d'appel sur mesures provisionnelles, rendu le 10 février 2006 par le Tribunal d'arrondissement de l'Est vaudois. Dans ce dernier arrêt, faisant référence à une convention passée entre les parties le 22 août 2002, la juridiction a décidé que le recourant devait contribuer à l'entretien des siens par le paiement des charges prévues dans cette convention, à savoir toutes les charges fixes et régulières de la villa à l'exception des frais d'électricité et de téléphone, et s'acquitter en outre d'une pension mensuelle de 4'000 fr. dès le 1er février 2005. Or selon la décision entreprise, il fallait considérer qu'au stade des mesures provisionnelles, l'entretien était constitué de ces deux postes. Il s'ensuivait que le ch. IV du jugement de divorce, qui prévoyait que le recourant devait s'acquitter des charges de la villa familiale jusqu'au 31 décembre 2010, ne pouvait être exécutoire, ce nonobstant le fait que seul le chiffre relatif au montant de la contribution d'entretien (ch. II du jugement de divorce) avait été annulé par la Chambre des recours dans son arrêt du 12 juin 2012 et que le ch. IV n'avait pas été remis en cause par les parties.</w:t>
      </w:r>
    </w:p>
    <w:p>
      <w:r>
        <w:rPr>
          <w:b/>
        </w:rPr>
        <w:t>E. 2.2</w:t>
      </w:r>
    </w:p>
    <w:p>
      <w:r>
        <w:t>Le recourant affirme avant tout que la décision cantonale serait arbitraire dès lors qu'elle violerait le texte clair de l' art. 114 CPC /VD, selon lequel les mesures provisionnelles cessent leurs effets dès qu'un jugement exécutoire est rendu sur le fond de la cause. Il était en l'espèce manifeste qu'à l'exception du montant de la contribution d'entretien (ch. II du jugement de divorce) et de la liquidation du régime matrimonial (ch. V du jugement de divorce), toutes les autres questions avaient définitivement été tranchées sur le plan judiciaire. Il s'ensuivait que les juges cantonaux interprétaient également de manière arbitraire l' art. 504 al. 4 CPC /VD, disposition autorisant la délivrance d'une déclaration d'exécuter partielle lorsque seule une partie du dispositif du jugement est remise en cause. Le recourant souligne également qu'en l'absence de toute contestation du ch. IV par son ex-épouse, le Tribunal cantonal s'écarterait de l'art. 148 aCC - applicable en 2010 lors de la reddition du jugement de divorce -, qui prévoit que le dépôt d'un recours ne suspend l'entrée en force du jugement que dans la mesure des conclusions prises. Le recourant en déduit que les magistrats cantonaux auraient ainsi statué ultra petita , accordant à l'intéressée un avantage pécuniaire qu'elle n'avait pourtant jamais sollicité en procédure par la voie du recours. L'intimée soutient que le versement en espèces de 4'000 fr. et le paiement des frais relatifs à la maison constituerait deux volets de la contribution d'entretien due pendant la durée de la procédure, de sorte que l'autorité cantonale n'aurait nullement transgressé le texte de l' art. 114 CPC /VD en refusant de déclarer exécutoire le ch. IV du jugement de divorce. L'intéressée affirme que l'on ne saurait non plus reprocher à la cour cantonale une violation de l' art. 504 CPC /VD dès lors que les juges cantonaux auraient clairement distingué les clauses du dispositif touchant à des points encore litigieux des clauses qui n'étaient pas contestées, qu'ils ont déclarées définitives. L'intimée déduit finalement des conclusions du recourant que celui-ci chercherait à obtenir une modification du montant de la contribution d'entretien mise à sa charge, sans requérir la modification des mesures provisionnelles.</w:t>
      </w:r>
    </w:p>
    <w:p>
      <w:r>
        <w:rPr>
          <w:b/>
        </w:rPr>
        <w:t>E. 2.3.1</w:t>
      </w:r>
    </w:p>
    <w:p>
      <w:r>
        <w:t>La demande de divorce donnant lieu au jugement dont le recourant sollicite l'exécution partielle a été introduite en 2004. C'est donc à juste titre que les juges cantonaux ont considéré que l'ancien droit de procédure cantonale s'y appliquait ( art. 404 al. 1 CPC ). Avec le recourant, il convient également de retenir l'application de l'art. 148 aCC, abrogé suite à l'entrée en vigueur du Code de procédure civile fédéral (RO 2010 1739).</w:t>
      </w:r>
    </w:p>
    <w:p>
      <w:r>
        <w:rPr>
          <w:b/>
        </w:rPr>
        <w:t>E. 2.3.2</w:t>
      </w:r>
    </w:p>
    <w:p>
      <w:r>
        <w:t>Selon l'art. 148 aCC, le dépôt d'un recours ne suspend l'entrée en force du jugement que dans la mesure des conclusions prises. Cela signifie que seuls les points remis en cause dans le recours restent à trancher et sont soumis à l'autorité de recours. Les points qui ne sont pas entrepris sont définitivement jugés, le jugement entrant ainsi en force de chose jugée partielle (arrêt 5C.3/2004 du 14 avril 2004 consid. 4.2). L'art. 137 al. 2 aCC prévoit que chacun des époux peut demander au juge d'ordonner les mesures provisoires nécessaires pendant la durée de la procédure de divorce. Celles-ci peuvent également être ordonnées après la dissolution du mariage lorsque la procédure relative aux effets du divorce n'est pas close ( art. 137 al. 2 2 e phr. aCC). Cette règle doit se comprendre en relation avec l'art. 148 al. 1 aCC qui généralise la possibilité d'une entrée en force séparée du divorce    lui-même et de certains de ses effets; elle signifie également que les mesures déjà ordonnées peuvent perdurer sans qu'il soit nécessaire que leur maintien après la dissolution du mariage soit expressément prévu dans la décision provisionnelle ni ordonné après l'entrée en force du prononcé de divorce (arrêt 5P.121/2002 du 12 juin 2002 consid. 3.1; Tappy in Commentaire romand, CC I, 2010, n. 24 ad art. 137 aCC; LEUENBERGER, FamKommentar, Scheidung, 2005, n. 12 ad art. 137 aCC; SUTTER/FREIBURGHAUS, Kommentar zum neuen Scheidungsrecht, 1999, n. 44 ad art. 137 aCC). En règle générale, les mesures provisoires ordonnées selon l'art. 137 al. 2 aCC deviennent caduques lorsque la procédure a totalement pris fin ( ATF 119 II 193 consid. 3a). Cette règle se retrouve d'ailleurs à l' art. 114 al. 1 CPC /VD, aux termes duquel les mesures provisionnelles cessent leurs effets dès qu'un jugement exécutoire est rendu sur le fond de la cause. Si le jugement n'est toutefois devenu définitif que sur certains effets (art. 148 aCC; cf. supra), ce sont uniquement les mesures provisoires les concernant qui prennent alors fin. Seule une procédure en modification de jugement de divorce permettra un éventuel changement de leur réglementation sur le fond ( TAPPY, op. cit., n. 26 ad art. 137 aCC).</w:t>
      </w:r>
    </w:p>
    <w:p>
      <w:r>
        <w:rPr>
          <w:b/>
        </w:rPr>
        <w:t>E. 2.3.3</w:t>
      </w:r>
    </w:p>
    <w:p>
      <w:r>
        <w:t>En l'espèce, l'arrêt d'appel sur mesures provisionnelles rendu par le Tribunal civil le 10 février 2006 rappelle que, les 5 et 13 août 2002, les parties avaient signé une convention organisant leur vie séparée, convention ratifiée par le premier juge pour valoir prononcé de mesures protectrices de l'union conjugale. Le point III de la convention traitait des aspects financiers et prévoyait que le recourant contribuerait ainsi aux frais d'entretien des siens: sous point a) : en prenant à sa charge les assurances maladie de ses enfants, ainsi que toutes les dépenses liées à leur santé (dentiste compris), les dépenses de musique, de sport et de loisirs; sous point b) : en supportant les charges fixes et régulières de la villa, à l'exception des frais d'électricité et de téléphone; sous point c) : en versant, en mains de l'intimée, une pension mensuelle de 4'250 fr. à compter du 1er juin 2002. L'arrêt d'appel a partiellement repris les éléments de cette convention en retenant que le recourant contribuerait à l'entretien des siens par le paiement des charges prévues au chiffre III, lit. a et b de la convention ainsi que par le régulier versement d'une pension mensuelle de 4'000 fr. payable d'avance le premier de chaque mois depuis le 1er février 2005. Même si la question de l'entretien est réglée dans un chiffre unique du dispositif (ch. II), le Tribunal civil a clairement séparé, dans les considérants de son arrêt, la question du paiement des charges de la maison familiale des besoins établis par l'intimée pour son entretien personnel. Il n'est en l'espèce pas contesté que le montant de la contribution d'entretien due à l'intimée, réglée au point II du jugement de divorce rendu le 26 mai 2010, n'est à ce jour pas définitivement tranché. La question du paiement des charges de la villa, réglée au point IV de ce dernier jugement, n'a en revanche pas été attaquée par les parties; ce point a par ailleurs été implicitement confirmé par l'arrêt de la Chambre des recours du 6 décembre 2010. Dans ces conditions, il faut admettre qu'il a été définitivement réglé par le jugement du 26 mai 2010 et qu'il est en conséquence entré en force: le régime provisionnel aménagé par l'arrêt d'appel du 10 février 2006 ne peut donc continuer de s'y appliquer, sauf à violer l'art. 148 aCC. Que cette question ait été abordée dans le contexte de la contribution à laquelle pouvait prétendre l'intimée n'y change rien dans la mesure où elle en a clairement été distinguée.</w:t>
      </w:r>
    </w:p>
    <w:p>
      <w:r>
        <w:rPr>
          <w:b/>
        </w:rPr>
        <w:t>E. 3</w:t>
      </w:r>
    </w:p>
    <w:p>
      <w:r>
        <w:t>Le recourant conclut à la constatation du caractère définitif et exécutoire des chiffres III et VII du jugement de divorce (indexation de la contribution d'entretien et constatation de la liquidation, pour le surplus, du régime matrimonial des époux). Même si cette conclusion n'est pas spécifiquement motivée, l'on comprend que le recourant la relie au fait que seul les points II et V sont actuellement litigieux entre les parties. Il est néanmoins manifeste que les chiffres III et VII du dispositif sont liés à ceux du montant de la contribution d'entretien (II) et de la liquidation du régime matrimonial des époux (V), questions qui ne sont pas encore tranchées à ce jour (supra consid. A.b). Il n'y a dès lors à l'évidence aucun intérêt à prononcer leur caractère exécutoire.</w:t>
      </w:r>
    </w:p>
    <w:p>
      <w:r>
        <w:rPr>
          <w:b/>
        </w:rPr>
        <w:t>E. 4</w:t>
      </w:r>
    </w:p>
    <w:p>
      <w:r>
        <w:t>Le recourant conclut à la constatation du caractère définitif et exécutoire du chiffre VI du jugement de divorce - ordre d'inscrire au registre foncier son ex-épouse comme seule et unique propriétaire du bien-fonds no 342 de X.________. La cour cantonale a souligné à ce propos que ce dernier chiffre ne pouvait être déclaré exécutoire dès lors qu'il avait été réformé par le chiffre II de l'arrêt de la Chambre des recours du 12 juin 2012 - ordre d'inscrire au registre foncier son      ex-épouse comme seule et unique propriétaire du bien-fonds no 356 de X.________. Le recourant se limite à simplement persister dans sa conclusion, déplaçant néanmoins la date d'entrée en force au 23 août 2012, mais sans pour autant démontrer que la motivation cantonale serait contraire au droit. Il n'y a donc pas lieu d'entrer en matière sur ce point ( art. 42 al. 1 LTF ).</w:t>
      </w:r>
    </w:p>
    <w:p>
      <w:r>
        <w:rPr>
          <w:b/>
        </w:rPr>
        <w:t>E. 5.1</w:t>
      </w:r>
    </w:p>
    <w:p>
      <w:r>
        <w:t>Le recourant affirme encore que ce serait à tort que l'arrêt attaqué ne préciserait pas la date à laquelle les chiffres I, VIII et IX du dispositif du jugement sont devenus définitifs et exécutoires, lacune qui relèverait à son sens de l'arbitraire.</w:t>
      </w:r>
    </w:p>
    <w:p>
      <w:r>
        <w:rPr>
          <w:b/>
        </w:rPr>
        <w:t>E. 5.2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insoutenable de la loi ( ATF 133 II 396 consid. 3.2).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w:t>
      </w:r>
    </w:p>
    <w:p>
      <w:r>
        <w:rPr>
          <w:b/>
        </w:rPr>
        <w:t>E. 5.3</w:t>
      </w:r>
    </w:p>
    <w:p>
      <w:r>
        <w:t>Le recourant n'invoque en l'espèce la violation d'aucune disposition légale permettant de fonder l'arbitraire de la pratique cantonale, de sorte que sa critique apparaît a priori irrecevable. Il convient au surplus de rappeler que les jugements susceptibles d'être attaqués par un recours cantonal ordinaire deviennent définitifs à l'échéance du délai de recours lorsqu'aucun recours n'est interjeté (arrêt 5A_346/2011 du 1er septembre 2011 consid. 3.1 HOHL, Procédure civile, tome 1, 2001, n. 1269 ss). L'expiration du délai de recours dépend toutefois de la date de réception du jugement, laquelle peut différer d'une partie à l'autre. Dans ces conditions, le tribunal n'est pas à même de fixer    lui-même la date d'entrée en force d'un jugement mais uniquement d'attester son absence de remise en cause et, en conséquence, son caractère définitif. Sa décision n'est en conséquence nullement arbitraire sur ce point.</w:t>
      </w:r>
    </w:p>
    <w:p>
      <w:r>
        <w:rPr>
          <w:b/>
        </w:rPr>
        <w:t>E. 6</w:t>
      </w:r>
    </w:p>
    <w:p>
      <w:r>
        <w:t>En définitive, le recours est partiellement admis, dans la mesure où il est recevable, le chiffre II/I de l'arrêt attaqué étant annulé et réformé en ce sens que les chiffres I, IV, VIII et IX du dispositif du jugement de divorce rendu le 26 mai 2010 sont devenus définitifs et exécutoires. Les frais judiciaires sont répartis par moitié entre les parties ( art. 66 al. 1 LTF ) et les dépens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