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5A_658/2017 vom 6. September 2017</w:t>
      </w:r>
    </w:p>
    <w:p>
      <w:r>
        <w:t>Bundesgericht, 2017-09-06, DE</w:t>
      </w:r>
    </w:p>
    <w:p>
      <w:r>
        <w:rPr>
          <w:b/>
        </w:rPr>
        <w:t xml:space="preserve">Quelle: </w:t>
      </w:r>
      <w:r>
        <w:t>https://mcp.opencaselaw.ch/entscheid/bger_5A_658_2017</w:t>
      </w:r>
    </w:p>
    <w:p>
      <w:r>
        <w:t>FR: TF 5A_658/2017 du 6 septembre 2017</w:t>
      </w:r>
    </w:p>
    <w:p>
      <w:r>
        <w:t>IT: TF 5A_658/2017 del 6 settembre 2017</w:t>
      </w:r>
    </w:p>
    <w:p>
      <w:pPr>
        <w:pStyle w:val="Heading2"/>
      </w:pPr>
      <w:r>
        <w:t>Erwägungen</w:t>
      </w:r>
    </w:p>
    <w:p>
      <w:r>
        <w:rPr>
          <w:b/>
        </w:rPr>
        <w:t>E. 1</w:t>
      </w:r>
    </w:p>
    <w:p>
      <w:r>
        <w:t>Angefochten ist die kantonal letztinstanzlich beurteilte Festsetzung der Entschädigung des Beistandes durch die zuständige Erwachsenenschutzbehörde; die Beschwerde ist zulässig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Der nicht anwaltlich vertretene Beschwerdeführer verlangt eingangs seiner Eingabe die Abweisung des angefochtenen Urteils und am Schluss die Behaftung Dritter anhand deren Fehler sowie die Gutheissung der Beschwerde. Aus dem Kontext, namentlich auch aus dem Fazit, es sei ihm nicht möglich, die überhöhte Rechnung zu begleichen, ist ohne Weiteres ersichtlich, was der Beschwerdeführer anstrebt, nämlich die Aufhebung des angefochtenen Urteils und die Herabsetzung der Entschädigung des Beistandes.</w:t>
      </w:r>
    </w:p>
    <w:p>
      <w:r>
        <w:rPr>
          <w:b/>
        </w:rPr>
        <w:t>E. 4</w:t>
      </w:r>
    </w:p>
    <w:p>
      <w:r>
        <w:t>Das Kantonsgericht hat erwogen, dass der prozessbevollmächtige Vertretungsbeistand typische anwaltliche Tätigkeiten verrichtet habe, welche nach dem anwendbaren Berufstarif abzugelten seien. Der Honoraransatz betrage somit Fr. 200.-- bis 350.--, wobei der Mindestansatz von Fr. 200.-- geltend gemacht worden sei. Es lägen detaillierte Honorarabrechnungen über die erbrachten Leistungen und Auslagen vor. Die Gesamtsumme erscheine für eine einvernehmliche Scheidung auf den ersten Blick in der Tat als hoch. Sie sei aber insgesamt gerechtfertigt angesichts des ausserordentlich grossen Aufwandes für die Mandatsführung, welche wesentlich damit zusammenhänge, dass sich die Zusammenarbeit mit dem Beschwerdeführer aufgrund der (mit der psychischen Beeinträchtigung zusammenhängenden) fehlenden Entschlusskraft und der ständigen Meinungswechsel (betreffend Weiterführung des Scheidungsverfahrens und mehrmalige Herbeiführung einer Einigung) als zeitintensiv und beziehungstechnisch anspruchsvoll erwiesen habe.</w:t>
      </w:r>
    </w:p>
    <w:p>
      <w:r>
        <w:t>Mit diesen Ausführungen setzt sich der Beschwerdeführer nicht ansatzweise auseinander und er gibt auch keinen Fingerzeig, inwiefern das angefochtene Urteil Recht verletzen soll. Er hält primär fest, davon ausgegangen zu sein, dass der Staat die Kosten trage, was er selbst nicht tun könne, weil sein Haus hypothekarisch belastet sei und er von der AHV-Rente lebe. Dabei handelt es sich aber um ein neues und somit unzulässiges Vorbringen ( Art. 99 Abs. 1 BGG ), welches im Übrigen den Anfechtungsgegenstand (Umfang des dem Beistand zustehenden Honorars) nicht betrifft. Ferner macht er weitere Ausführungen, welche in keinerlei Zusammenhang mit dem angefochtenen Urteil stehen (Gründe für die Errichtung der Beistandschaft; Regierungsrat B.________ sei ihm Fr. 60'000.-- schuldig).</w:t>
      </w:r>
    </w:p>
    <w:p>
      <w:r>
        <w:rPr>
          <w:b/>
        </w:rPr>
        <w:t>E. 5</w:t>
      </w:r>
    </w:p>
    <w:p>
      <w:r>
        <w:t>Nach dem Gesagten erweist sich die Beschwerde als offensichtlich unbegründet, weshalb auf sie nicht eingetreten werden kann und der Präsident im vereinfachten Verfahren entscheidet ( Art. 108 Abs. 1 lit. b BGG ).</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