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5A_656/2010 vom 13. Januar 2011</w:t>
      </w:r>
    </w:p>
    <w:p>
      <w:r>
        <w:t>Bundesgericht, 2011-01-13, DE</w:t>
      </w:r>
    </w:p>
    <w:p>
      <w:r>
        <w:rPr>
          <w:b/>
        </w:rPr>
        <w:t xml:space="preserve">Quelle: </w:t>
      </w:r>
      <w:r>
        <w:t>https://mcp.opencaselaw.ch/entscheid/bger_5A_656_2010</w:t>
      </w:r>
    </w:p>
    <w:p>
      <w:r>
        <w:t>FR: TF 5A_656/2010 du 13 janvier 2011</w:t>
      </w:r>
    </w:p>
    <w:p>
      <w:r>
        <w:t>IT: TF 5A_656/2010 del 13 gennaio 2011</w:t>
      </w:r>
    </w:p>
    <w:p>
      <w:pPr>
        <w:pStyle w:val="Heading2"/>
      </w:pPr>
      <w:r>
        <w:t>Erwägungen</w:t>
      </w:r>
    </w:p>
    <w:p>
      <w:r>
        <w:rPr>
          <w:b/>
        </w:rPr>
        <w:t>E. 1.1</w:t>
      </w:r>
    </w:p>
    <w:p>
      <w:r>
        <w:t>Angefochten ist ein kantonal letztinstanzlicher Endentscheid in einer nicht vermögensrechtlichen Zivilsache. Die Beschwerde in Zivilsachen steht offen ( Art. 72 Abs. 1, Art. 75 Abs. 1 und Art. 90 BGG ).</w:t>
      </w:r>
    </w:p>
    <w:p>
      <w:r>
        <w:rPr>
          <w:b/>
        </w:rPr>
        <w:t>E. 1.2</w:t>
      </w:r>
    </w:p>
    <w:p>
      <w:r>
        <w:t>In rechtlicher Hinsicht sind alle Rügen gemäss Art. 95 f. BGG zulässig und das Bundesgericht wendet in diesem Bereich das Recht von Amtes wegen an ( Art. 106 Abs. 1 BGG ), was heisst, dass es behauptete Rechtsverletzungen ( Art. 42 Abs. 2 BGG ) mit freier Kognition prüft. Trotzdem obliegt es dem Beschwerdeführer, sich in seiner Beschwerde sachbezogen mit den Darlegungen im angefochtenen Entscheid auseinanderzusetzen ( Art. 42 Abs. 1 und 2 BGG ).</w:t>
      </w:r>
    </w:p>
    <w:p>
      <w:r>
        <w:t>Dagegen ist das Bundesgericht an den vorinstanzlich festgestellten Sachverhalt grundsätzlich gebunden ( Art. 105 Abs. 1 BGG ). Diesbezüglich kann einzig vorgebracht werden, er sei offensichtlich unrichtig festgestellt worden ( Art. 97 Abs. 1 BGG ), wobei "offensichtlich unrichtig" mit "willkürlich" gleichzusetzen ist (Botschaft, BBl 2001 IV 4338; BGE 133 II 249 E. 1.2.2 S. 252), oder er beruhe auf einer anderen Rechtsverletzung im Sinn von Art. 95 BGG (z.B. Art. 29 Abs. 2 BV oder Art. 8 ZGB ). Ausserdem muss in der Beschwerde aufgezeigt werden, inwiefern die Behebung der vorerwähnten Mängel für den Ausgang des Verfahrens entscheidend sein kann ( Art. 97 Abs. 1 BGG ; BGE 135 I 19 E. 2.2.2 S. 22). Für all diese Elemente gilt das strenge Rügeprinzip ( Art. 106 Abs. 2 BGG ; BGE 133 II 249 E. 1.4.2 S. 255). Das Bundesgericht prüft nur klar und detailliert erhobene und soweit möglich belegte Rügen,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Nach dem Gesagten hat das Bundesgericht seinem Entscheid die kantonalen Sachverhaltsfeststellungen zugrunde zu legen. Der Beschwerdeführer kritisiert zwar explizit oder implizit verschiedene Feststellungen, indem er ausführlich seine eigene Wahrnehmung des Geschehenen schildert (S. 3 bis 23 der Beschwerde). Eigentliche Willkürrügen erhebt er aber keine. Daher ist die Beschwerde rein appellatorisch begründet. Wie in E. 1.2 festgehalten, müsste der Beschwerdeführer unter Bezugnahme auf einzelne Aktenstellen bzw. Erwägungen detailliert aufzeigen, inwiefern das Obergericht den Sachverhalt offensichtlich unrichtig festgestellt haben soll; ausserdem müsste auch dargelegt werden, inwiefern der betreffende Verstoss für den Verfahrensausgang entscheidend wäre. Auf die Beschwerde kann mithin nicht eingetreten werden, soweit der Beschwerdeführer lediglich explizit oder implizit Kritik an den Sachverhaltsfeststellungen des Obergerichts übt.</w:t>
      </w:r>
    </w:p>
    <w:p>
      <w:r>
        <w:t>Auf die Beschwerde kann auch insoweit nicht eingetreten werden, als der Beschwerdeführer die behaupteten Bundesrechtsverletzungen gestützt auf den von ihm selbst dargestellten und nicht auf den vom Obergericht - für das Bundesgericht verbindlich - festgestellten Sachverhalt begründet. Dies gilt namentlich für die Rüge, das Obergericht habe die Erziehungsfähigkeit der Mutter zu Unrecht bejaht.</w:t>
      </w:r>
    </w:p>
    <w:p>
      <w:r>
        <w:rPr>
          <w:b/>
        </w:rPr>
        <w:t>E. 3</w:t>
      </w:r>
    </w:p>
    <w:p>
      <w:r>
        <w:t>Der Beschwerdeführer wirft dem Obergericht wiederholt vor, nicht die geeigneten Kindesschutzmassnahmen getroffen zu haben. Er hat indes zu beachten, dass dem Sachgericht in Kindesschutzbelangen ein weites Ermessen zukommt ( Art. 4 ZGB ). Wohl überprüft das Bundesgericht Ermessensentscheide kantonaler Instanzen an sich frei. Es übt aber Zurückhaltung und schreitet nur ein, wenn die Vorinstanz grundlos von in Rechtsprechung und Lehre anerkannten Grundsätzen abgewichen ist, wenn sie Gesichtspunkte berücksichtigt hat, die für den Entscheid im Einzelfall keine Rolle hätten spielen dürfen, oder wenn Umstände nicht in Betracht gezogen worden sind, die hätten beachtet werden müssen. Das Bundesgericht greift ausserdem in Ermessensentscheide ein, wenn sich diese offensichtlich unbillig, als in stossender Weise ungerecht erweisen ( BGE 128 III 428 E. 4 S. 432; s. auch Urteil 5A_254/2010 vom 5. Juli 2010, E. 3.2.5).</w:t>
      </w:r>
    </w:p>
    <w:p>
      <w:r>
        <w:t>Entgegen den Behauptungen des Beschwerdeführers hat das Obergericht sehr wohl erkannt, dass die Instrumentalisierung der Kinder durch die Mutter und der daraus resultierende fehlende Kontakt zum Vater dem Kindeswohl grundsätzlich abträglich ist. Es kommt indes gestützt auf die Meinung der Gutachter zum Schluss, dass nicht nur das Verhalten der Mutter, sondern auch dasjenige des Vaters für die Entfremdungstendenzen der Kinder und deren Weigerung, einen Kontakt zum Vater zu pflegen, verantwortlich sind und eine Normalisierung nur erreicht werden könne, wenn im Verhältnis unter den Eltern Ruhe einkehre. Das war der Grund, das formell eingeräumte, aber nie durchgesetzte und auch nicht durchsetzbare Besuchsrecht zu sistieren. Mit einer Dauer von fast eineinhalb Jahren ist die Sistierung zwar für eine lange Zeit angeordnet worden, die an der oberen Grenze des Üblichen liegt. In Anbetracht der konkreten Umstände erscheint die Regelung aber nicht als geradezu unbillig, umso weniger, als das Obergericht es für notwendig erachtete, die Eltern im gleichen Zug dazu aufzufordern, das gemeinsame Gespräch aufzunehmen und nötigenfalls um mediatorische Unterstützung bemüht zu sein. Von weiteren Massnahmen (Obhutsentzug, Errichtung einer Erziehungsbeistandschaft, Verpflichtung der Mutter, einen "Erziehungs-Kurs" zu besuchen) sah das Obergericht ab, weil solche Anordnungen die dringend empfohlene Einkehr von Ruhe im System verhindern und gegenteils zu einer weiteren Eskalation führen würden.</w:t>
      </w:r>
    </w:p>
    <w:p>
      <w:r>
        <w:t>In seinen Ausführungen beschränkt sich der Beschwerdeführer darauf, seine Sicht der Dinge darzulegen und die - durchaus relevanten - Kriterien einer eigenen Würdigung zu unterziehen. Er zeigt aber nicht auf, in welchem Zusammenhang das Obergericht grundlos von in Rechtsprechung und Lehre anerkannten Grundsätzen abgewichen ist, wo es Gesichtspunkte berücksichtigt hat, die für den Entscheid im Einzelfall keine Rolle hätten spielen dürfen, bzw. welche Umstände es nicht in Betracht gezogen hat, die hätten beachtet werden müssen. Damit ist nicht dargetan, dass das Obergericht mit seinen Erwägungen das ihm zustehende Ermessen missbraucht oder überschritten hat.</w:t>
      </w:r>
    </w:p>
    <w:p>
      <w:r>
        <w:rPr>
          <w:b/>
        </w:rPr>
        <w:t>E. 4</w:t>
      </w:r>
    </w:p>
    <w:p>
      <w:r>
        <w:t>Nur der Vollständigkeit halber sei die Mutter darauf hingewiesen, dass der persönliche Verkehr als Pflichtrecht ausgestaltet ist, indem der Elternteil, dem das Sorge- oder Obhutsrecht nicht zusteht, und das unmündige Kind gegenseitig Anspruch auf angemessenen persönlichen Verkehr haben ( Art. 273 Abs. 1 ZGB ). Bei dessen Ausgestaltung steht zwar das Kindeswohl im Vordergrund ( BGE 131 III 209 E. 5 S. 212), dem Kind - und insbesondere dem Sorgerechtsinhaber - kommt aber kein eigentliches Selbstbestimmungsrecht zu ( BGE 100 II 76 E. 4b S. 82 ff.). Sodann entspricht es kinderpsychologischer Erkenntnis, dass in der Entwicklung des Kindes eine Beziehung zu beiden Elternteilen sehr wichtig ist ( BGE 130 III 585 E. 2.2.2 S. 590). Der Mutter sei in diesem Sinn nahegelegt, im Dreieck der Beteiligten ihr eigenes Verhältnis zum Kindsvater klar von demjenigen zwischen Vater und Kindern zu trennen und im Interesse der Kinder sowie zur Vermeidung von Massnahmen im Sinn von Art. 273 Abs. 2 oder von Art. 307-311 ZGB (bis hin zum Sorgerechts- und Obhutsentzug) ihren Kooperationspflichten nachzuleben, einerseits im Verhältnis zu den Behörden, andererseits aufgrund ihrer gesetzlichen Pflicht, alles zu unterlassen, was das Verhältnis des Kindes zum anderen Elternteil beeinträchtigt ( Art. 274 Abs. 1 ZGB ), auch gegenüber dem Beschwerdeführer. In diesem Sinn sollte die Mutter auch die von den Gutachtern geäusserten Bedenken am Verhalten bzw. an der Art der Einflussnahme ihres Lebensabschnittspartners beherzigen.</w:t>
      </w:r>
    </w:p>
    <w:p>
      <w:r>
        <w:rPr>
          <w:b/>
        </w:rPr>
        <w:t>E. 5</w:t>
      </w:r>
    </w:p>
    <w:p>
      <w:r>
        <w:t>Nach dem Gesagten ist die Beschwerde abzuweisen, soweit darauf eingetreten werden kann. Bei diesem Ausgang sind die Gerichtskosten dem Beschwerdeführer aufzuerlegen ( Art. 66 Abs. 1 BGG ). Der Beschwerdegegnerin sind keine entschädigungspflichtigen Aufwendungen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