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652/2019 vom 17. September 2019</w:t>
      </w:r>
    </w:p>
    <w:p>
      <w:r>
        <w:t>Bundesgericht, 2019-09-17, IT</w:t>
      </w:r>
    </w:p>
    <w:p>
      <w:r>
        <w:rPr>
          <w:b/>
        </w:rPr>
        <w:t xml:space="preserve">Quelle: </w:t>
      </w:r>
      <w:r>
        <w:t>https://mcp.opencaselaw.ch/entscheid/bger_5A_652_2019</w:t>
      </w:r>
    </w:p>
    <w:p>
      <w:r>
        <w:t>FR: TF 5A 652/2019 du 17 septembre 2019</w:t>
      </w:r>
    </w:p>
    <w:p>
      <w:r>
        <w:t>IT: TF 5A 652/2019 del 17 settembre 2019</w:t>
      </w:r>
    </w:p>
    <w:p>
      <w:pPr>
        <w:pStyle w:val="Heading2"/>
      </w:pPr>
      <w:r>
        <w:t>Regeste</w:t>
      </w:r>
    </w:p>
    <w:p>
      <w:r>
        <w:t>pignoramento | Diritto delle esecuzioni e del fallimento</w:t>
      </w:r>
    </w:p>
    <w:p>
      <w:pPr>
        <w:pStyle w:val="Heading2"/>
      </w:pPr>
      <w:r>
        <w:t>Erwägungen</w:t>
      </w:r>
    </w:p>
    <w:p>
      <w:r>
        <w:rPr>
          <w:b/>
        </w:rPr>
        <w:t>E. 1</w:t>
      </w:r>
    </w:p>
    <w:p>
      <w:r>
        <w:t>Nelle esecuzioni promosse dalla Confederazione svizzera e dallo Stato del Cantone Ticino nei confronti di A.________ per crediti di complessivi fr. 22'712.45, in data 25 gennaio 2019 l'Ufficio di esecuzione di Mendrisio (UE) ha notificato all'escusso il pignoramento dei suoi redditi, diffidandolo a versargli fr. 400.-- mensili (malgrado la quota pignorabile dei redditi dell'escusso risultasse essere di fr. 4'960.--, pari alla differenza tra il salario versatogli da una datrice di lavoro italiana di fr. 8'870.-- ed il suo minimo esistenziale di fr. 3'910.--). In data 11 aprile 2019 l'UE, su segnalazione di un creditore, ha proceduto ad una revisione del pignoramento, diffidando l'escusso a versargli l'importo eccedente il suo minimo esistenziale stabilito in fr. 4'166.-- mensili (indicativamente fr. 3'910.--, stante il suo salario di fr. 8'076.--). Mediante sentenza 14 agosto 2019 la Camera di esecuzione e fallimenti del Tribunale d'appello del Cantone Ticino, quale autorità di vigilanza, ha respinto il ricorso introdotto da A.________ contro il nuovo calcolo dell'UE. La Corte cantonale ha segnatamente spiegato al ricorrente che nel minimo di esistenza possono essere inserite soltanto le spese di locazione il cui pagamento effettivo e regolare è dimostrato, che nell'importo forfetario di base di fr. 1'700.-- sono già comprese le spese telefoniche non professionali e che l'estinzione di debiti, in particolare il rimborso di crediti bancari, non rientra nel minimo esistenziale (a meno che concernino beni indispensabili).</w:t>
      </w:r>
    </w:p>
    <w:p>
      <w:r>
        <w:rPr>
          <w:b/>
        </w:rPr>
        <w:t>E. 2</w:t>
      </w:r>
    </w:p>
    <w:p>
      <w:r>
        <w:t>Con ricorso datato 21 agosto 2019 A.________ ha impugnato la sentenza dell'autorità di vigilanza dinanzi al Tribunale federale, chiedendo, implicitamente, di ridurre la quota pignorabile del suo salario a fr. 400.-- mensili, rispettivamente a fr. 511.35 mensili. 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Nel rimedio all'esame il ricorrente afferma, in sostanza, che il suo salario mensile sarebbe soggetto a variazioni di cambio e che il suo minimo esistenziale dovrebbe tenere conto di spese di locazione più elevate (fr. 1'940.-- mensili invece di fr. 1'840.--), delle spese telefoniche (fr. 524.70 mensili), nonché delle garanzie e degli obblighi di rimborso di un prestito imposti dall'istituto bancario italiano che gestisce il conto sul quale egli riceve lo stipendio (complessivi fr. 2'564.-- mensili; istituto bancario che egli non potrebbe cambiare). Il gravame si esaurisce tuttavia in una generica contestazione del giudizio cantonale, senza alcun valido confronto con la dettagliata e pertinente argomentazione sviluppata dall'autorità di vigilanza, e non soddisfa pertanto le esigenze di motivazione dell' art. 42 cpv. 2 LTF .</w:t>
      </w:r>
    </w:p>
    <w:p>
      <w:r>
        <w:rPr>
          <w:b/>
        </w:rPr>
        <w:t>E. 4</w:t>
      </w:r>
    </w:p>
    <w:p>
      <w:r>
        <w:t>Da quanto precede discende che il ricorso, manifestamente non motivato in modo sufficiente, può essere deciso nella procedura semplificata dell' art. 108 cpv. 1 lett. b LTF . Le spese giudiziarie seguono la soccombenza ( art. 66 cpv. 1 LTF ). Per questi motivi, la Giudice presidente pronuncia: 1. Il ricorso è inammissibile. 2. Le spese giudiziarie di fr. 300.-- sono poste a carico del ricorrente. 3. Comunicazione ai partecipanti al procedimento e alla Camera di esecuzione e fallimenti del Tribunale d'appello del Cantone Ticino, quale autorità di vigilanza. Losanna, 17 settembre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