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5A_652/2017 vom 31. August 2017</w:t>
      </w:r>
    </w:p>
    <w:p>
      <w:r>
        <w:t>Bundesgericht, 2017-08-31, DE</w:t>
      </w:r>
    </w:p>
    <w:p>
      <w:r>
        <w:rPr>
          <w:b/>
        </w:rPr>
        <w:t xml:space="preserve">Quelle: </w:t>
      </w:r>
      <w:r>
        <w:t>https://mcp.opencaselaw.ch/entscheid/bger_5A_652_2017</w:t>
      </w:r>
    </w:p>
    <w:p>
      <w:r>
        <w:t>FR: TF 5A_652/2017 du 31 août 2017</w:t>
      </w:r>
    </w:p>
    <w:p>
      <w:r>
        <w:t>IT: TF 5A_652/2017 del 31 agosto 2017</w:t>
      </w:r>
    </w:p>
    <w:p>
      <w:pPr>
        <w:pStyle w:val="Heading2"/>
      </w:pPr>
      <w:r>
        <w:t>Erwägungen</w:t>
      </w:r>
    </w:p>
    <w:p>
      <w:r>
        <w:rPr>
          <w:b/>
        </w:rPr>
        <w:t>E. 1</w:t>
      </w:r>
    </w:p>
    <w:p>
      <w:r>
        <w:t>Gegen den kantonal letztinstanzlichen Entscheid über die fürsorgerische Unterbringung steht die Beschwerde in Zivilsachen grundsätzlich offen (Art. 72 Abs. 2 lit. b Ziff. 6, Art. 75 Abs. 1 und Art. 90 BGG ). Sie ist schriftlich und unterschrieben einzureichen ( Art. 42 Abs. 1 BGG ), wozu Fax-Eingaben nicht genügen. Eine Aufforderung zur Behebung des Mangels ( Art. 42 Abs. 5 BGG ) erübrigt sich aber insofern, als angesichts der nachfolgenden Ausführungen ohnehin nicht auf die Beschwerde einzutreten sein wird.</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Die Eingabe besteht aus dem Text "Ich erhebe Rekurs gegen die Begutachtung". Bei fürsorgerischem Freiheitsentzug stellt das Bundesgericht keine hohen Anforderungen an die Begründung; allerdings ist eine minimale Auseinandersetzung mit dem angefochtenen Entscheid unabdingbar. In diesem wird der Schwächezustand, die Erforderlichkeit der Unterbringung und die Eignung der Klinik unter Bezugnahme auf das erstellte Gutachten ausführlich behandelt. Es ist nicht ersichtlich, inwiefern die Vorinstanz mit dem abweisenden angefochtenen Entscheid Recht verletzt haben könnte.</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