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650/2017 vom 25. September 2017</w:t>
      </w:r>
    </w:p>
    <w:p>
      <w:r>
        <w:t>Bundesgericht, 2017-09-25, FR</w:t>
      </w:r>
    </w:p>
    <w:p>
      <w:r>
        <w:rPr>
          <w:b/>
        </w:rPr>
        <w:t xml:space="preserve">Quelle: </w:t>
      </w:r>
      <w:r>
        <w:t>https://mcp.opencaselaw.ch/entscheid/bger_5A_650_2017</w:t>
      </w:r>
    </w:p>
    <w:p>
      <w:r>
        <w:t>FR: TF 5A 650/2017 du 25 septembre 2017</w:t>
      </w:r>
    </w:p>
    <w:p>
      <w:r>
        <w:t>IT: TF 5A 650/2017 del 25 settembre 2017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juin 2017, la Chambre civile de la Cour de justice du canton de Genève a déclaré recevable le recours interjeté le 6 mars 2017 par B.________, annulé le jugement rendu le 7 février 2017 par le Tribunal de première instance prononçant la mainlevée définitive de l'opposition formée par B.________ au commandement de payer la somme de xx'xxx fr., notifié à la poursuivie à l'instance de A.________, et renvoyé la cause au Tribunal de première instance pour instruction et nouvelle décision dans le sens des considérants.</w:t>
      </w:r>
    </w:p>
    <w:p>
      <w:r>
        <w:rPr>
          <w:b/>
        </w:rPr>
        <w:t>E. 2</w:t>
      </w:r>
    </w:p>
    <w:p>
      <w:r>
        <w:t>Par acte du 28 août 2017, A.________ exerce un recours en matière civile au Tribunal fédéral, concluant à l'annulation de l'arrêt déféré et à la confirmation du prononcé de mainlevée.</w:t>
      </w:r>
    </w:p>
    <w:p>
      <w:r>
        <w:rPr>
          <w:b/>
        </w:rPr>
        <w:t>E. 3</w:t>
      </w:r>
    </w:p>
    <w:p>
      <w:r>
        <w:t>Le présent recours en matière civile est dirigé contre un arrêt de renvoi et donc contre une décision incidente au sens de l' art. 93 al. 1 let. a LTF , qui ne porte ni sur la compétence ni sur une demande de récusation ( cf. art. 92 LTF ), et qui tombe ainsi sous le coup de l' art. 93 LTF . Le recours immédiat au Tribunal fédéral suppose donc alternativement la réalisation de la condition de l' art. 93 al. 1 let. a LTF , ou des conditions cumulatives posées à l' art. 93 al. 1 let. b LTF . Les conditions de l' art. 93 al. 1 let. b LTF n'étant en l'espèce manifestement pas remplies, il incombait au recourant de démontrer que la décision entreprise risquait de lui causer un préjudice irréparable ( art. 93 al. 1 let. a LTF ). Or, dans la mesure où il a méconnu la nature de la décision entreprise, le recourant ne soutient pas, ni a fortiori ne démontre, que tel serait le cas. Le recours fondé sur l' art. 93 al. 1 LTF est ainsi d'emblée irrecevable. Dans ces circonstances, le présent recours doit être traité selon la procédure simplifiée prévue à l' art. 108 al. 1 let. a LTF .</w:t>
      </w:r>
    </w:p>
    <w:p>
      <w:r>
        <w:rPr>
          <w:b/>
        </w:rPr>
        <w:t>E. 4</w:t>
      </w:r>
    </w:p>
    <w:p>
      <w:r>
        <w:t>Les frais judiciaires, arrêtés à 700 fr., doivent être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