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649/2017 vom 30. August 2017</w:t>
      </w:r>
    </w:p>
    <w:p>
      <w:r>
        <w:t>Bundesgericht, 2017-08-30, FR</w:t>
      </w:r>
    </w:p>
    <w:p>
      <w:r>
        <w:rPr>
          <w:b/>
        </w:rPr>
        <w:t xml:space="preserve">Quelle: </w:t>
      </w:r>
      <w:r>
        <w:t>https://mcp.opencaselaw.ch/entscheid/bger_5A_649_2017</w:t>
      </w:r>
    </w:p>
    <w:p>
      <w:r>
        <w:t>FR: TF 5A 649/2017 du 30 août 2017</w:t>
      </w:r>
    </w:p>
    <w:p>
      <w:r>
        <w:t>IT: TF 5A 649/2017 del 30 agosto 2017</w:t>
      </w:r>
    </w:p>
    <w:p>
      <w:pPr>
        <w:pStyle w:val="Heading2"/>
      </w:pPr>
      <w:r>
        <w:t>Regeste</w:t>
      </w:r>
    </w:p>
    <w:p>
      <w:r>
        <w:t>plainte art. 17 LP (décompte global)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17 août 2017, la Chambre de surveillance des Offices des poursuites et faillites de la Cour de justice du canton de Genève a rejeté la plainte formée le 19 août 2017 par A.________ contre son décompte global de poursuites du 27 avril 2017.</w:t>
      </w:r>
    </w:p>
    <w:p>
      <w:r>
        <w:rPr>
          <w:b/>
        </w:rPr>
        <w:t>E. 2</w:t>
      </w:r>
    </w:p>
    <w:p>
      <w:r>
        <w:t>Par acte du 25 août 2017, A.________ exerce un recours en matière civile au Tribunal fédéral. Dans son écriture, le recourant soutient que l'instruction n°4 émise par l'Office fédéral de la Justice le 1er juin 2016 ne doit pas être appliquée et que le décompte établi par l'office des poursuites contient plusieurs poursuites comptées à double, ainsi que des dettes éteintes. Ce faisant, le recourant oppose sa propre version à la motivation développée par la Chambre de surveillance des Offices des poursuites et faillites de la Cour de justice. Il ne soulève aucun grief tendant à démontrer que le raisonnement de la décision cantonale querellée serait contraire à la Constitution ou à l'un de ses droits. Le recours ne satisfait par conséquent aucunement aux exigences de motivation des art. 42 al. 2 et 106 al. 2 LTF et doit donc d'emblée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500 fr., doivent par conséquent être mis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