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5A_648/2024 vom 8. Oktober 2024</w:t>
      </w:r>
    </w:p>
    <w:p>
      <w:r>
        <w:t>Bundesgericht, 2024-10-08, DE</w:t>
      </w:r>
    </w:p>
    <w:p>
      <w:r>
        <w:rPr>
          <w:b/>
        </w:rPr>
        <w:t xml:space="preserve">Quelle: </w:t>
      </w:r>
      <w:r>
        <w:t>https://mcp.opencaselaw.ch/entscheid/bger_5A_648_2024</w:t>
      </w:r>
    </w:p>
    <w:p>
      <w:r>
        <w:t>FR: TF 5A_648/2024 du 8 octobre 2024</w:t>
      </w:r>
    </w:p>
    <w:p>
      <w:r>
        <w:t>IT: TF 5A_648/2024 del 8 ottobre 2024</w:t>
      </w:r>
    </w:p>
    <w:p>
      <w:pPr>
        <w:pStyle w:val="Heading2"/>
      </w:pPr>
      <w:r>
        <w:t>Erwägungen</w:t>
      </w:r>
    </w:p>
    <w:p>
      <w:r>
        <w:rPr>
          <w:b/>
        </w:rPr>
        <w:t>E. 1</w:t>
      </w:r>
    </w:p>
    <w:p>
      <w:r>
        <w:t>Angefochten ist der kantonal letztinstanzliche Entscheid über Kindesunterhalt mit Fr. 30'000.-- übersteigendem Streitwert; die Beschwerde in Zivilsachen ist zulässig ( Art. 72 Abs. 1, Art. 74 Abs. 1 lit. b, Art. 75 Abs. 1 und Art. 90 BGG ).</w:t>
      </w:r>
    </w:p>
    <w:p>
      <w:r>
        <w:rPr>
          <w:b/>
        </w:rPr>
        <w:t>E. 2</w:t>
      </w:r>
    </w:p>
    <w:p>
      <w:r>
        <w:t>Neue Begehren sind vor Bundesgericht unzulässig ( Art. 99 Abs. 2 BGG ), denn der mögliche Anfechtungsgegenstand wird durch das begrenzt, was von der Vorinstanz beurteilt wurde. Soweit mehr oder anderes verlangt wird, kann auf die Beschwerde von vornherein nicht eingetreten werden ( BGE 136 II 457 E. 4.2; 136 V 362 E. 3.4.2 ; 142 I 155 E. 4.4.2). Dies betrifft zunächst die Frage der Vaterschaft, die ausserhalb der von der Beschwerdegegnerin eingereichten Unterhaltsklage steht, sodann aber auch die Frage des Erlasses der erstinstanzlichen Gerichtskosten. Soweit die erstinstanzlich erhobenen Gerichtskosten und die im erstinstanzlichen Urteil auferlegte Parteientschädigung inhaltlich angefochten werden, ist auf die Ausführungen in E. 5 zu verweisen.</w:t>
      </w:r>
    </w:p>
    <w:p>
      <w:r>
        <w:rPr>
          <w:b/>
        </w:rPr>
        <w:t>E. 3</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4</w:t>
      </w:r>
    </w:p>
    <w:p>
      <w:r>
        <w:t>Die Ausführungen in der Beschwerde, mit welchen der Beschwerdeführer seine (Arbeits-) Situation bzw. den Aufbau seiner GmbH schildert, beschlagen den Sachverhalt. Sie bleiben aber durchwegs appellatorisch; Verfassungsrügen, insbesondere Willkürrügen werden nicht erhoben, auch nicht der Sache nach. Insbesondere betrifft bei der Anrechnung eines hypothetischen Einkommens im Rahmen eines Angestelltenverhältnisses sowohl dessen effektive Erzielbarkeit (angesichts des Alters, der Gesundheit, der Ausbildung und persönlichen Fähigkeiten, der Arbeitsmarktlage, etc.) als auch dessen Höhe eine Tatsachenfeststellung, welche nur mit Willkürrügen angefochten werden könnte ( BGE 128 III 4 E. 4; 137 III 118 E. 2.3; 143 III 233 E. 3). Eine Rechtsfrage ist hingegen, ob die Erzielung eines solchen Arbeitseinkommens - und damit einhergehend die Aufgabe der bislang keinen Gewinn abwerfenden unternehmerischen Tätigkeit - als zumutbar erscheint ( BGE 128 III 4 E. 4; 137 III 118 E. 2.3; 143 III 233 E. 3). Diesbezüglich erfolgt indes keine den Anforderungen von Art. 42 Abs. 2 BGG genügende Auseinandersetzung mit den Erwägungen im angefochtenen Urteil. Der Vollständigkeit halber ist festzuhalten, dass angesichts der für den Kindesunterhalt geltenden besonderen Anstrengungspflicht ( BGE 147 III 265 E. 7.4) die Verwirklichung beruflicher Wunschvorstellung hinter der Verpflichtung zur Generierung eines Erwerbseinkommens, welches Unterhaltszahlungen ermöglicht, zurückzutreten hat (Urteil 5A_285/2024 vom 25. Juni 2024 E. 3.3 m.w.H.). Abgesehen davon fehlt es an bezifferten Rechtsbegehren, wie sie im Zusammenhang mit der Unterhaltsfestsetzung nötig wären (allgemein für Geldforderungen BGE 134 III 235 E. 2; 143 III 111 E. 1.2; spezifisch für Unterhaltsforderungen BGE 79 II 253 E. 1; 137 III 617 E. 4.3); auch daran scheitert die Beschwerde. Unzutreffend ist schliesslich die Behauptung des Beschwerdeführers, trotz seiner fehlenden Leistungsfähigkeit sei er rückwirkend zu Unterhaltsbeiträgen verpflichtet worden; vielmehr werden ihm solche im obergerichtlichen Entscheid erst ab Januar 2025 und somit nach einer längeren Übergangsfrist auferlegt.</w:t>
      </w:r>
    </w:p>
    <w:p>
      <w:r>
        <w:rPr>
          <w:b/>
        </w:rPr>
        <w:t>E. 5</w:t>
      </w:r>
    </w:p>
    <w:p>
      <w:r>
        <w:t>Während der Beschwerdeführer betreffend die erstinstanzlichen Kosten auf S. 4 seiner Beschwerde antragsmässig einen Erlass fordert (dazu E. 2), stellt er auf S. 2 begründungsmässig deren Festsetzung materiell in Frage. Diesbezüglich hat das Obergericht erwogen, er habe die Kostenauferlegung im Berufungsverfahren nicht angefochten. Wenn der Beschwerdeführer nunmehr vorträgt, er habe keine rechtliche Unterstützung gehabt und deshalb nicht gewusst, dass er diese Kostenauferlegung aktiv hätte anfechten müssen, obwohl er doch offensichtlich mittellos sei, so versucht er, die im Berufungsverfahren versäumten Vorbringen im bundesgerichtlichen Verfahren nachzuholen. Dies ist unzulässig, weil es hier an der materiellen Ausschöpfung des Instanzenzuges fehlt (Art. 75 Abs. 1 und 99 Abs. 1 BGG; BGE 143 III 290 E. 1.1 m.w.H.).</w:t>
      </w:r>
    </w:p>
    <w:p>
      <w:r>
        <w:rPr>
          <w:b/>
        </w:rPr>
        <w:t>E. 6</w:t>
      </w:r>
    </w:p>
    <w:p>
      <w:r>
        <w:t>Nach dem Gesagten ist die Beschwerde abzuweisen, soweit auf sie eingetreten werden kann.</w:t>
      </w:r>
    </w:p>
    <w:p>
      <w:r>
        <w:rPr>
          <w:b/>
        </w:rPr>
        <w:t>E. 7</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