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5A_647/2010 vom 10. März 2011</w:t>
      </w:r>
    </w:p>
    <w:p>
      <w:r>
        <w:t>Bundesgericht, 2011-03-10, FR</w:t>
      </w:r>
    </w:p>
    <w:p>
      <w:r>
        <w:rPr>
          <w:b/>
        </w:rPr>
        <w:t xml:space="preserve">Quelle: </w:t>
      </w:r>
      <w:r>
        <w:t>https://mcp.opencaselaw.ch/entscheid/bger_5A_647_2010</w:t>
      </w:r>
    </w:p>
    <w:p>
      <w:r>
        <w:t>FR: TF 5A_647/2010 du 10 mars 2011</w:t>
      </w:r>
    </w:p>
    <w:p>
      <w:r>
        <w:t>IT: TF 5A_647/2010 del 10 marzo 2011</w:t>
      </w:r>
    </w:p>
    <w:p>
      <w:pPr>
        <w:pStyle w:val="Heading2"/>
      </w:pPr>
      <w:r>
        <w:t>Erwägungen</w:t>
      </w:r>
    </w:p>
    <w:p>
      <w:r>
        <w:rPr>
          <w:b/>
        </w:rPr>
        <w:t>E. 1</w:t>
      </w:r>
    </w:p>
    <w:p>
      <w:r>
        <w:t>Le Tribunal fédéral examine d'office et librement la recevabilité des recours qui lui sont soumis ( ATF 135 III 1 consid. 1.1 et les références citées).</w:t>
      </w:r>
    </w:p>
    <w:p>
      <w:r>
        <w:rPr>
          <w:b/>
        </w:rPr>
        <w:t>E. 1.1</w:t>
      </w:r>
    </w:p>
    <w:p>
      <w:r>
        <w:t>L'arrêt entrepris a été rendu dans une affaire civile ( art. 72 al. 1 LTF ), de nature pécuniaire. En l'espèce, la cour cantonale a fixé la valeur litigieuse en fonction du montant annuel moyen que les demandeurs pourraient réclamer en application de la règle de répartition admise en première instance, à savoir une somme oscillant entre 1'000 fr. et 1'500 fr, soit 1'250 fr., de sorte qu'elle est inférieure à 30'000 fr. (cf. art. 74 al. 1 let. b et 51 al. 4 LTF). Seule la voie du recours constitutionnel subsidiaire est ainsi ouverte ( art. 113 ss LTF ).</w:t>
      </w:r>
    </w:p>
    <w:p>
      <w:r>
        <w:rPr>
          <w:b/>
        </w:rPr>
        <w:t>E. 1.2</w:t>
      </w:r>
    </w:p>
    <w:p>
      <w:r>
        <w:t>Le recours a par ailleurs été déposé en temps utile contre une décision finale rendue par une autorité de dernière instance cantonale (art. 75 al. 1, 100 al. 1 et 117 LTF) et les recourants, qui ont succombé devant l'autorité précédente, démontrent un intérêt juridique à la modification de la décision attaquée ( art. 115 LTF ). Le recours constitutionnel est donc recevable.</w:t>
      </w:r>
    </w:p>
    <w:p>
      <w:r>
        <w:rPr>
          <w:b/>
        </w:rPr>
        <w:t>E. 2</w:t>
      </w:r>
    </w:p>
    <w:p>
      <w:r>
        <w:t>Le Tribunal fédéral ne sanctionne la violation de droits fondamentaux que si un tel moyen est invoqué et motivé par le recourant ( art. 106 al. 2 LTF ; principe d'allégation, Rügeprinzip, principio dell'allegazione; ATF 133 II 249 consid. 1.4.2). Le recourant qui se plaint d'arbitraire ne saurait, dès lors, se contenter d'opposer sa thèse à celle de la juridiction cantonale, mais doit démontrer, par une argumentation précise, en quoi consiste la violation. Les critiques de nature appellatoire sont irrecevables ( ATF 133 III 585 consid. 4.1; 130 I 258 consid. 1.3 et les arrêts cités).</w:t>
      </w:r>
    </w:p>
    <w:p>
      <w:r>
        <w:t>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w:t>
      </w:r>
    </w:p>
    <w:p>
      <w:r>
        <w:rPr>
          <w:b/>
        </w:rPr>
        <w:t>E. 3</w:t>
      </w:r>
    </w:p>
    <w:p>
      <w:r>
        <w:t>En substance, la cour cantonale a constaté que la valeur litigieuse excédait 20'000 fr., à savoir la limite supérieure arrêtant la compétence des tribunaux de district, et que les parties n'avaient pas convenu d'une prorogation au sens de l'art. 11 de la loi d'organisation judiciaire neuchâteloise du 27 juin 1979 (OJN; RSN 161.1) puisqu'elles n'étaient pas conscientes du problème. Elle en a déduit que le jugement du Tribunal du district de La Chaux-de-Fonds avait été rendu en violation des règles de compétence ratione materiae et s'avérait dès lors nul, ce qu'il lui incombait de constater d'office selon le droit de procédure cantonal.</w:t>
      </w:r>
    </w:p>
    <w:p>
      <w:r>
        <w:rPr>
          <w:b/>
        </w:rPr>
        <w:t>E. 4</w:t>
      </w:r>
    </w:p>
    <w:p>
      <w:r>
        <w:t>Les recourants soutiennent tout d'abord que la cour cantonale aurait arbitrairement dérogé à sa jurisprudence sur le calcul de la valeur litigieuse. Se prévalant des principes jurisprudentiels développés pour l'art. 36 aOJ applicable à titre de droit cantonal supplétif - l' art. 3 CPC /NE reprenant l'aOJ quant aux revenus et prestations périodiques -, ils font valoir que seule la conclusion en paiement de 1'124 fr. 90 devait servir à déterminer la valeur litigieuse, la conclusion en constatation et les conclusions subsidiaires n'étant que des conclusions préparatoires n'entrant pas dans le calcul de la valeur litigieuse.</w:t>
      </w:r>
    </w:p>
    <w:p>
      <w:r>
        <w:rPr>
          <w:b/>
        </w:rPr>
        <w:t>E. 4.1</w:t>
      </w:r>
    </w:p>
    <w:p>
      <w:r>
        <w:t>Selon la jurisprudence, l'action en constatation de droit est notamment recevable lorsque le demandeur est menacé par une incertitude concernant ses droits ou ceux d'un tiers et que cette incertitude peut être levée par une constatation judiciaire relative à l'existence et au contenu de la relation juridique ( ATF 123 III 414 consid. 7b; 120 II 20 consid. 3a). Toute action en constatation de droit suppose en outre l'existence d'un intérêt à la constatation. Un tel intérêt est en règle générale nié lorsqu'une action destinée à obtenir une prestation est possible; l'action en constatation de droit est subsidiaire par rapport à cette dernière. Un intérêt à la constatation est cependant reconnu si celle-ci a une portée propre ( ATF 136 III 123 consid. 4.3.2), notamment lorsqu'il s'agit d'obtenir la constatation d'un rapport de droit pour l'avenir alors que seules des prestations partielles sont exigibles (arrêt 4C.335/2004 du 3 février 2005 consid. 4.3 non publié aux ATF 131 III 319 ; ATF 99 II 172 consid. 2).</w:t>
      </w:r>
    </w:p>
    <w:p>
      <w:r>
        <w:rPr>
          <w:b/>
        </w:rPr>
        <w:t>E. 4.2</w:t>
      </w:r>
    </w:p>
    <w:p>
      <w:r>
        <w:t>En l'espèce, les recourants se méprennent lorsqu'ils prétendent que la conclusion en fixation de la règle de répartition des frais n'a pas de portée indépendante. En effet, une fois cette clé de répartition arrêtée judiciairement, elle doit régler les rapports entre les parties pour l'avenir, au-delà de la condamnation à la part des frais pour la saison 2002-2003. Ce chef de conclusions a ainsi une portée propre dont la valeur est appréciable en argent. En conséquence, on ne saurait reprocher à la cour cantonale d'avoir procédé d'un quelconque arbitraire dans le calcul de la valeur litigieuse. Mal fondé, ce grief doit donc être rejeté.</w:t>
      </w:r>
    </w:p>
    <w:p>
      <w:r>
        <w:rPr>
          <w:b/>
        </w:rPr>
        <w:t>E. 5</w:t>
      </w:r>
    </w:p>
    <w:p>
      <w:r>
        <w:t>Les recourants se plaignent ensuite d'arbitraire en tant que les juges cantonaux ont relevé d'office la nullité du jugement de première instance, au terme d'une procédure de trois ans et demi, alors que les défendeurs avaient tacitement renoncé à le faire. Tout en reconnaissant que l'incompétence ratione materiae du tribunal de district entraîne une nullité d'ordre public qui se prononce d'office, ils se prévalent d'une jurisprudence de la Cour de cassation civile rendue à propos du défaut et selon laquelle, même en cas de nullité d'ordre public qui se prononce d'office, celui qui procède sans se prévaloir de la nullité est réputé y avoir renoncé tacitement et n'est plus habilité à le faire ultérieurement. Invoquant l' ATF 113 Ia 84 , ils avancent également qu'un avocat, qui ne soulève pas le déclinatoire, est réputé avoir accepté la compétence d'une autorité judiciaire.</w:t>
      </w:r>
    </w:p>
    <w:p>
      <w:r>
        <w:rPr>
          <w:b/>
        </w:rPr>
        <w:t>E. 5.1</w:t>
      </w:r>
    </w:p>
    <w:p>
      <w:r>
        <w:t>Selon la jurisprudence, la nullité d'une décision rendue par une autorité de juridiction n'est admise que si le vice dont elle est entachée est particulièrement grave, est manifeste ou du moins facilement décelable et si, en outre, la constatation de la nullité ne met pas sérieusement en danger la sécurité du droit. Hormis les cas prévus par la loi, la nullité ne doit être admise qu'exceptionnellement,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 ATF 130 III 430 consid. 3.3; 129 I 361 consid. 2.1; 122 I 97 consid. 3a/aa; 116 Ia 215 consid. 2c; pour la compétence matérielle cf. arrêt 5C.92/2001 du 28 août 2001 consid. 5d; arrêt 8C_816/2007 du 11 novembre 2008 consid. 5.3).</w:t>
      </w:r>
    </w:p>
    <w:p>
      <w:r>
        <w:rPr>
          <w:b/>
        </w:rPr>
        <w:t>E. 5.2</w:t>
      </w:r>
    </w:p>
    <w:p>
      <w:r>
        <w:t>En l'occurrence, les demandeurs ont saisi le tribunal de district en fonction d'une valeur litigieuse inférieure à 20'000 fr. Les défendeurs n'ont pas contesté cette valeur ni soulevé de déclinatoire. Ledit tribunal a ainsi admis sa compétence et statué sur le fond. Sur la base de l'estimation effectuée par la Cour de cassation civile du Tribunal cantonal, il ressort cependant que la valeur litigieuse de l'action fixée à 25'000 fr. outrepasse la compétence du tribunal de district. Cela ne signifie toutefois pas encore que le jugement devait être annulé d'office. En l'espèce, le montant arrêté par la Cour de cassation repose sur une estimation de la valeur litigieuse qui pourrait en fait se révéler inférieure à la limite de 20'000 fr. et établirait alors la compétence du tribunal saisi en première instance. En outre, la loi d'organisation judiciaire neuchâteloise permet aux parties de proroger la compétence par une déclaration expresse et par leur signature apposée sur le protocole ou un autre document établi devant le juge (art. 11 OJN). Guldener est même d'avis que, lorsqu'une prorogation est possible, il convient, dans le doute, d'admettre l'acceptation tacite de la compétence afin d'éviter qu'une procédure déjà terminée ne devienne inutile et que le défendeur puisse garder en réserve une exception d'incompétence pour l'utiliser si l'issue du procès lui est défavorable, en violation des règles de la bonne foi (Guldener, Schweizerisches Zivilprozessrecht, p. 109). Dans ces conditions, on ne saurait parler d'une incompétence qualifiée du tribunal de district ni de circonstances telles que le système d'annulabilité n'offre manifestement pas la protection nécessaire. La Cour de cassation, qui n'avait été saisie que de griefs matériels par les défendeurs, est ainsi tombée dans l'arbitraire en constatant d'office la nullité du jugement de première instance. Il convient en conséquence d'admettre le recours, d'annuler l'arrêt querellé et de renvoyer la cause à l'autorité inférieure pour qu'elle examine au fond le recours formé devant elle par les défendeurs.</w:t>
      </w:r>
    </w:p>
    <w:p>
      <w:r>
        <w:t>Ce motif suffit à l'annulation de l'arrêt querellé si bien qu'il n'y a pas lieu d'examiner plus avant les autres griefs soulevés par les recourants.</w:t>
      </w:r>
    </w:p>
    <w:p>
      <w:r>
        <w:rPr>
          <w:b/>
        </w:rPr>
        <w:t>E. 6</w:t>
      </w:r>
    </w:p>
    <w:p>
      <w:r>
        <w:t>En définitive, le recours est admis, l'arrêt attaqué annulé et la cause renvoyée à l'autorité cantonale pour nouvelle décision dans le sens des considérants. Les intimés, qui succombent, supporteront les frais de justice, arrêtés à 2'500 fr. ( art. 66 al. 1 LTF ) et verseront au recourant une indemnité de dépens à hauteur de 2'500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