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647/2007 vom 25. März 2008</w:t>
      </w:r>
    </w:p>
    <w:p>
      <w:r>
        <w:t>Bundesgericht, 2008-03-25, FR</w:t>
      </w:r>
    </w:p>
    <w:p>
      <w:r>
        <w:rPr>
          <w:b/>
        </w:rPr>
        <w:t xml:space="preserve">Quelle: </w:t>
      </w:r>
      <w:r>
        <w:t>https://mcp.opencaselaw.ch/entscheid/bger_5A_647_2007</w:t>
      </w:r>
    </w:p>
    <w:p>
      <w:r>
        <w:t>FR: TF 5A 647/2007 du 25 mars 2008</w:t>
      </w:r>
    </w:p>
    <w:p>
      <w:r>
        <w:t>IT: TF 5A 647/2007 del 25 marzo 2008</w:t>
      </w:r>
    </w:p>
    <w:p>
      <w:pPr>
        <w:pStyle w:val="Heading2"/>
      </w:pPr>
      <w:r>
        <w:t>Regeste</w:t>
      </w:r>
    </w:p>
    <w:p>
      <w:r>
        <w:t>déni de justice | Droit des successions</w:t>
      </w:r>
    </w:p>
    <w:p>
      <w:pPr>
        <w:pStyle w:val="Heading2"/>
      </w:pPr>
      <w:r>
        <w:t>Erwägungen</w:t>
      </w:r>
    </w:p>
    <w:p>
      <w:r>
        <w:rPr>
          <w:b/>
        </w:rPr>
        <w:t>E. 1</w:t>
      </w:r>
    </w:p>
    <w:p>
      <w:r>
        <w:t>En l'espèce, le Tribunal de première instance de Genève a refusé de donner suite à la requête du recourant par le motif que, en convoquant le témoin visé par la commission rogatoire étrangère, il avait «statué sur la recevabilité de la requête internationale considérant qu'aucun motif de refus - tels qu'énumérés à l'article 11 de la Convention de La Haye du 1er mars 1954 applicable par analogie - n'entrait en ligne de compte».</w:t>
      </w:r>
    </w:p>
    <w:p>
      <w:r>
        <w:rPr>
          <w:b/>
        </w:rPr>
        <w:t>E. 1.1</w:t>
      </w:r>
    </w:p>
    <w:p>
      <w:r>
        <w:t>La Principauté du Liechtenstein n'ayant adhéré ni à la Convention de La Haye du 1er mars 1954 relative à la procédure civile (CLaH 54; RS 0.274.12), ni à celle du 18 mars 1970 sur l'obtention des preuves à l'étranger en matière civile et commerciale (CLaH 70; RS 0.274.132), l'exécution de la présente requête d'entraide relève exclusivement du droit national (Walter, Internationales Zivilprozessrecht der Schweiz, 4e éd., p. 329 ch. III/1 et les références mentionnées), en l'occurrence genevois (cf. Bertossa/Gaillard/Guyet/Schmidt, Commentaire de la loi de procédure civile genevoise, vol. II, n. 2 ad art. 249 LPC ). Sous réserve des exceptions légales ( art. 95 let . c à e LTF), la violation du droit cantonal ne constitue pas un motif de recours; en revanche, le recourant peut faire valoir que la fausse application du droit cantonal constitue une violation du droit fédéral ( art. 95 let. a LTF ), en particulier d'un droit constitutionnel (cf. ATF 133 II 249 consid. 1.2.1 p. 251/252; 133 III 462 consid. 2.3 p. 466). Le Tribunal fédéral n'examine toutefois ce grief que s'il satisfait aux exigences légales de motivation ( art. 106 al. 2 LTF ; cf. à ce sujet: ATF 133 III 393 consid. 6 p. 397). Dans le cas présent, le Tribunal de première instance a expliqué pour quel motif il refusait de donner suite à la requête. Or, le recourant ne mentionne pas la moindre règle (cantonale) que ladite juridiction aurait arbitrairement violée en procédant de la sorte. Il s'ensuit que le recours est irrecevable pour ce motif déjà.</w:t>
      </w:r>
    </w:p>
    <w:p>
      <w:r>
        <w:rPr>
          <w:b/>
        </w:rPr>
        <w:t>E. 1.2</w:t>
      </w:r>
    </w:p>
    <w:p>
      <w:r>
        <w:t>La qualité pour former un recours en matière civile suppose que le recourant ait un intérêt juridique à l'annulation ou à la modification de la décision attaquée ( art. 76 al. 1 let. b LTF ; ATF 133 III 421 consid. 1.1 p. 425/426 et les références citées), condition qu'il lui incombe d'établir lorsqu'elle n'est pas évidente ( ATF 133 II 249 consid. 1.1 p. 251 et 400 consid. 2 p. 404). En l'espèce, le recourant méconnaît cette exigence. La jurisprudence de la Cour de céans a précisé que, n'étant pas partie au litige entre les époux, une banque ne pouvait pratiquement invoquer que son droit de refuser de témoigner protégé par l'art. 11 CLaH 70, mais ne pouvait se plaindre, par exemple, d'une violation des règles sur la transmission de la commission rogatoire, quand bien même elle est la destinataire de la décision attaquée (arrêt 5P.423/2006 du 12 février 2007, consid. 3 [en l'occurrence, renseignements sollicités dans le cadre d'une procédure en liquidation du régime matrimonial à l'étranger]). Ces principes sont aussi applicables dans le cas présent. Or, le recourant, qui n'a pas été astreint lui-même à fournir des documents, ou d'autres informations, et dont les organes n'ont pas été menacés de sanctions pénales en cas d'insoumission (cf. art. 292 CP ), n'expose aucunement en quoi il serait habilité à s'opposer à l'audition d'un tiers (B.________), au sujet duquel, au demeurant, l'on ignore tout.</w:t>
      </w:r>
    </w:p>
    <w:p>
      <w:r>
        <w:rPr>
          <w:b/>
        </w:rPr>
        <w:t>E. 2</w:t>
      </w:r>
    </w:p>
    <w:p>
      <w:r>
        <w:t>Vu l'issue de la procédure, les frais judiciaires incombent au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