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646/2008 vom 22. Dezember 2008</w:t>
      </w:r>
    </w:p>
    <w:p>
      <w:r>
        <w:t>Bundesgericht, 2008-12-22, DE</w:t>
      </w:r>
    </w:p>
    <w:p>
      <w:r>
        <w:rPr>
          <w:b/>
        </w:rPr>
        <w:t xml:space="preserve">Quelle: </w:t>
      </w:r>
      <w:r>
        <w:t>https://mcp.opencaselaw.ch/entscheid/bger_5A_646_2008</w:t>
      </w:r>
    </w:p>
    <w:p>
      <w:r>
        <w:t>FR: TF 5A 646/2008 du 22 décembre 2008</w:t>
      </w:r>
    </w:p>
    <w:p>
      <w:r>
        <w:t>IT: TF 5A 646/2008 del 22 dicembre 2008</w:t>
      </w:r>
    </w:p>
    <w:p>
      <w:pPr>
        <w:pStyle w:val="Heading2"/>
      </w:pPr>
      <w:r>
        <w:t>Regeste</w:t>
      </w:r>
    </w:p>
    <w:p>
      <w:r>
        <w:t>Kosten- und Entschädigungsfolgen (Willensvollstrecker) | Erbrecht</w:t>
      </w:r>
    </w:p>
    <w:p>
      <w:pPr>
        <w:pStyle w:val="Heading2"/>
      </w:pPr>
      <w:r>
        <w:t>Erwägungen</w:t>
      </w:r>
    </w:p>
    <w:p>
      <w:r>
        <w:rPr>
          <w:b/>
        </w:rPr>
        <w:t>E. 2.1</w:t>
      </w:r>
    </w:p>
    <w:p>
      <w:r>
        <w:t>Im angefochtenen Beschluss wird ausgeführt, der Vorderrichter habe für die Bemessung des Streitwerts auf den Wert des Legats abgestellt. Führten Erben Beschwerde, stelle die Kammer praxisgemäss auf den Wert des Nachlasses ab, obwohl das wirtschaftliche Interesse des Erben regelmässig nur auf einen Bruchteil dieses Werts gerichtet sei. Davon bei der Beschwerde einer Vermächtnisnehmerin abzuweichen, bestehe kein Grund. Die Beschwerde erhebe im Resultat stets die gesamte Abwicklung des Nachlasses zum Streitgegenstand. Insbesondere sei die Absetzung des Willensvollstreckers, wie sie die Beschwerdeführerin beantragt habe, auch aufgrund der Beschwerde eines Vermächtnisnehmers denkbar. Mangels übereinstimmender Angaben sei der Streitwert zu schätzen ( § 22 Abs. 2 ZPO /ZH). Mit Blick auf die namhafte Beteiligung an einem börsenkotierten Unternehmen im Nachlass sei ermessensweise von einem Streitwert von 50 Mio. Franken auszugehen. Die Vorinstanz fährt fort, die nach allgemeinen Regeln (§ 4 Abs. 1 i.V.m. § 7 und § 13 Abs. 1 GebV) berechnete Gerichtsgebühr beliefe sich damit mindestens auf Fr. 210'000.--. Das sei unangemessen. Die Gerichtsgebühr sei mit Blick auf das verfassungsrechtliche Äquivalenzprinzip und in Anwendung von § 2 Abs. 1 und § 4 Abs. 2 GebV auf Fr. 25'000.-- zu ermitteln. Die Prozessentschädigung sei unter Ausschöpfung der Reduktionsmöglichkeiten auf Fr. 20'000.-- festzusetzen (§ 3 Abs. 1, § 7 und § 12 Abs. 1 AnwGebV). Die erstinstanzliche Gerichtsgebühr sei im Resultat angemessen, die erstinstanzliche Regelung der Kosten- und Entschädigungsfolgen sei deshalb zu bestätigen.</w:t>
      </w:r>
    </w:p>
    <w:p>
      <w:r>
        <w:rPr>
          <w:b/>
        </w:rPr>
        <w:t>E. 2.2</w:t>
      </w:r>
    </w:p>
    <w:p>
      <w:r>
        <w:t>Die Beschwerdeführerin trägt vor, die Annahme eines Streitwertes sei willkürlich im Sinne von Art. 9 BV , denn mit dem Antrag auf Absetzung des Willensvollstreckers werde keine Klage vermögensrechtlicher Natur erhoben, sondern der Aufsichtsbehörde eine Ordnungsmassnahme kraft Aufsichtsrechts beantragt, nämlich die Aufhebung der dem Willensvollstrecker zustehenden Verwaltungsbefugnisse (vgl. BGE 90 II 376 E. 1 S. 379). Das Bundegericht habe im Zusammenhang mit der freien Prüfung einer Berufung die Frage offen gelassen, ob im Verfahren betreffend die Absetzung eines Willensvollstreckers ein Streitwert bestehe. Das Obergericht hätte richtigerweise für die Gerichtsgebühr § 4 Abs. 3 GebV anwenden müssen. Danach werde die Gebühr, wenn keine vermögensrechtlichen Interessen im Streit stünden, auf Grund des tatsächlichen Streitinteresses, des Zeitaufwands und der Schwierigkeit des Falles festgesetzt. Diese Bestimmung sehe ferner einen Rahmen vor, innerhalb dessen sich die Gebühr grundsätzlich zu bewegen habe, nämlich bis höchstens Fr. 13'000.-- . Was die Anwaltsentschädigung anbelange, sehe § 3 Abs. 5 AnwGebV eine maximale Entschädigung von in der Regel Fr. 16'000.-- vor.</w:t>
      </w:r>
    </w:p>
    <w:p>
      <w:r>
        <w:rPr>
          <w:b/>
        </w:rPr>
        <w:t>E. 2.3</w:t>
      </w:r>
    </w:p>
    <w:p>
      <w:r>
        <w:t>In BGE 90 II 376 S. 386 hat das Bundesgericht im Zusammenhang mit der Prüfung des Streitwerts für die Berufung ( Art. 46 OG ) die Frage aufgeworfen und offen gelassen, ob dem Streit um die Absetzung des Willensvollstreckers vermögensrechtlicher Charakter zukomme oder nicht. Es hat ausgeführt, es gehe, wenn auch nicht Bestand und Grösse von Erbanteilen oder anderer Ansprüche materiellrechtlicher Art betroffen seien, um erbrechtliche Verhältnisse. Angesichts der Grösse der Erbschaft sei der Streitwert erreicht. Es könne daher dahingestellt bleiben, ob die Sache als vermögensrechtlich oder nicht vermögensrechtlich angesehen werde. Die Frage, ob bei freier Prüfung von einer vermögensrechtlichen Angelegenheit zu sprechen wäre, kann auch im vorliegenden Fall dahingestellt bleiben. Die Annahme des Obergerichts, es liege eine vermögensrechtliche Streitigkeit vor, ist jedenfalls nicht willkürlich. Dies ist vorliegend umso weniger der Fall, als die Beschwerdeführerin aufsichtsrechtlich nicht nur die Absetzung des Willensvollstreckers, sondern eventualiter auch die unverzügliche Ausrichtung des Vermächtnisses verlangt hat.</w:t>
      </w:r>
    </w:p>
    <w:p>
      <w:r>
        <w:rPr>
          <w:b/>
        </w:rPr>
        <w:t>E. 2.4</w:t>
      </w:r>
    </w:p>
    <w:p>
      <w:r>
        <w:t>Die Beschwerdeführerin macht weiter geltend, selbst wenn von einem Streitwert auszugehen sei, müsse das Ergebnis als willkürlich bezeichnet werden, weil nicht von der Höhe des gesamten Nachlasses, sondern von der Höhe des Vermächtnisses auszugehen sei. Das Obergericht hat begründet, weshalb auch aufgrund der Beschwerde eines Vermächtnisnehmers vom Wert des Nachlasses auszugehen sei. Die Beschwerdeführerin setzt sich mit der diesbezüglichen Begründung der Vorinstanz nicht auseinander, so dass darauf nicht eingetreten werden kann. Im Übrigen legt sie auch nicht dar, dass und inwiefern Gebühr und Entschädigung willkürlich hoch ausgefallen sein sollen, wenn das Vermächtnis Grundlage der Streitwertberechnung wäre.</w:t>
      </w:r>
    </w:p>
    <w:p>
      <w:r>
        <w:rPr>
          <w:b/>
        </w:rPr>
        <w:t>E. 3</w:t>
      </w:r>
    </w:p>
    <w:p>
      <w:r>
        <w:t>Nach dem Ausgeführten ist die Beschwerde abzuweisen, soweit darauf eingetreten werden kann. Die Beschwerdeführerin wird damit kostenpflichtig ( Art. 66 Abs. 1 BGG ). Die Zusprechung einer Parteientschädigung an den Beschwerdegegner entfällt, da er nicht zur Vernehmlassung aufgefordert wurde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