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5A_645/2024 vom 1. Oktober 2024</w:t>
      </w:r>
    </w:p>
    <w:p>
      <w:r>
        <w:t>Bundesgericht, 2024-10-01, DE</w:t>
      </w:r>
    </w:p>
    <w:p>
      <w:r>
        <w:rPr>
          <w:b/>
        </w:rPr>
        <w:t xml:space="preserve">Quelle: </w:t>
      </w:r>
      <w:r>
        <w:t>https://mcp.opencaselaw.ch/entscheid/bger_5A_645_2024</w:t>
      </w:r>
    </w:p>
    <w:p>
      <w:r>
        <w:t>FR: TF 5A_645/2024 du 1 octobre 2024</w:t>
      </w:r>
    </w:p>
    <w:p>
      <w:r>
        <w:t>IT: TF 5A_645/2024 del 1 ottobre 2024</w:t>
      </w:r>
    </w:p>
    <w:p>
      <w:pPr>
        <w:pStyle w:val="Heading2"/>
      </w:pPr>
      <w:r>
        <w:t>Erwägungen</w:t>
      </w:r>
    </w:p>
    <w:p>
      <w:r>
        <w:rPr>
          <w:b/>
        </w:rPr>
        <w:t>E. 1</w:t>
      </w:r>
    </w:p>
    <w:p>
      <w:r>
        <w:t>Neue Begehren sind vor Bundesgericht unzulässig ( Art. 99 Abs. 2 BGG ); soweit mehr oder anderes verlangt wird, als von der Vorinstanz beurteilt wurde, ist auf die Beschwerde von vornherein nicht einzutreten ( BGE 136 II 457 E. 4.2; 136 V 362 E. 3.4.2 ; 142 I 155 E. 4.4.2). Dies betrifft das sinngemässe Anliegen, wonach die Beistandschaft aufzuheben sei; diese Frage war nicht Gegenstand des angefochtenen Entscheides.</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im angefochtenen Entscheid die eindrückliche Krankengeschichte des Beschwerdeführers bzw. dessen Schwächezustand sowie das selbstgefährdende Verhalten, die Erforderlichkeit der Unterbringung und die Eignung der Klinik unter Bezugnahme auf das erstellte Gutachten ausführlich dargestellt und die Voraussetzungen der fürsorgerischen Unterbringung begründet.</w:t>
      </w:r>
    </w:p>
    <w:p>
      <w:r>
        <w:t>Der Beschwerdeführer stellt sinngemäss seine Krankheit in Frage. Dies bezieht sich auf die Sachverhaltsfeststellung; indes werden die Behauptungen in appellatorischer Weise und damit in unzureichender Form erhoben. In rechtlicher Hinsicht setzt sich er sich nicht sachgerichtet mit den Erwägungen des angefochtenen Entscheides auseinander, wenn er geltend macht, die Stiftung C.________ sei viel zu abgelegen und zuhause würde alles kaputt gehen, wenn er fürsorgerisch untergebracht bleibe, denn diese Vorbringen beschlagen nicht die rechtlichen Voraussetzungen der fürsorgerischen Unterbringung.</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