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645/2012 vom 23. November 2012</w:t>
      </w:r>
    </w:p>
    <w:p>
      <w:r>
        <w:t>Bundesgericht, 2012-11-23, FR</w:t>
      </w:r>
    </w:p>
    <w:p>
      <w:r>
        <w:rPr>
          <w:b/>
        </w:rPr>
        <w:t xml:space="preserve">Quelle: </w:t>
      </w:r>
      <w:r>
        <w:t>https://mcp.opencaselaw.ch/entscheid/bger_5A_645_2012</w:t>
      </w:r>
    </w:p>
    <w:p>
      <w:r>
        <w:t>FR: TF 5A 645/2012 du 23 novembre 2012</w:t>
      </w:r>
    </w:p>
    <w:p>
      <w:r>
        <w:t>IT: TF 5A 645/2012 del 23 novembre 2012</w:t>
      </w:r>
    </w:p>
    <w:p>
      <w:pPr>
        <w:pStyle w:val="Heading2"/>
      </w:pPr>
      <w:r>
        <w:t>Regeste</w:t>
      </w:r>
    </w:p>
    <w:p>
      <w:r>
        <w:t>Droit de visite | Droit de la famille</w:t>
      </w:r>
    </w:p>
    <w:p>
      <w:pPr>
        <w:pStyle w:val="Heading2"/>
      </w:pPr>
      <w:r>
        <w:t>Erwägungen</w:t>
      </w:r>
    </w:p>
    <w:p>
      <w:r>
        <w:rPr>
          <w:b/>
        </w:rPr>
        <w:t>E. 1.1</w:t>
      </w:r>
    </w:p>
    <w:p>
      <w:r>
        <w:t>L'arrêt entrepris, qui statue sur un recours contre la modification des relations personnelles (droit de visite) dans le cadre de mesures de protection au sens de l' art. 307 CC , est une décision prise en application de normes de droit public dans une matière connexe au droit civil, à savoir en matière de protection de l'enfant (art. 72 al. 2 let. b ch. 7 LTF). Comme la question soumise au Tribunal fédéral est de nature non pécuniaire, le recours est ouvert indépendamment de la valeur litigieuse. Par ailleurs, le recours a été interjeté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 1 et 2 LTF ).</w:t>
      </w:r>
    </w:p>
    <w:p>
      <w:r>
        <w:rPr>
          <w:b/>
        </w:rPr>
        <w:t>E. 1.2</w:t>
      </w:r>
    </w:p>
    <w:p>
      <w:r>
        <w:t>Le délai pour recourir est de 30 jours ( art. 100 al. 1 LTF ). En l'espèce, expédié le 20 août 2012, l'arrêt attaqué a été notifié au représentant de la recourante le 21 août 2012. Partant, l'écriture postée le 7 septembre 2012 est recevable; en revanche, celles des 30 et 31 octobre 2012, ainsi que celle du 9 novembre 2012 sont irrecevables parce que tardives. Il sera néanmoins tenu compte des allégués et offres de preuves tendant à l'octroi de l'assistance judiciaire contenus dans ces écritures.</w:t>
      </w:r>
    </w:p>
    <w:p>
      <w:r>
        <w:rPr>
          <w:b/>
        </w:rPr>
        <w:t>E. 2.1</w:t>
      </w:r>
    </w:p>
    <w:p>
      <w:r>
        <w:t>Le recours en matière civile peut être formé pour violation du droit fédéral ( art. 95 let. a LTF ). Sous peine d'irrecevabilité, les motifs doivent exposer succinctement en quoi l'acte attaqué viole le droit ( art. 42 al. 2 LTF ).</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il doit donc invoquer précisément la violation de l' art. 9 Cst. et démontrer, par une argumentation précise, en quoi consiste la violation. Aucun fait nouveau ni preuve nouvelle ne peut être présenté à moins de résulter de la décision de l'autorité précédente ( art. 99 al. 1 LTF ). Un jugement rendu sans que les faits nécessaires à l'application de la loi soient constatés est contraire au droit ( art. 95 let. a LTF ; ATF 133 IV 293 consid. 3.4.1; 134 V 53 consid. 4.3 et les références). La faculté de rectifier ou compléter d'office les constatations de l'autorité précédente que l' art. 105 al. 2 LTF confère au Tribunal fédéral, ne dispense pas le recourant de son obligation d'allégation et de motivation ( ATF 133 IV 286 consid. 6.2). Aussi,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w:t>
      </w:r>
    </w:p>
    <w:p>
      <w:r>
        <w:rPr>
          <w:b/>
        </w:rPr>
        <w:t>E. 3</w:t>
      </w:r>
    </w:p>
    <w:p>
      <w:r>
        <w:t>Dans la mesure où la mère commente l'arrêt cantonal, présente sa version des faits sans se référer aux allégations qu'elle aurait faites durant la procédure cantonale, demande des renseignements sur la Convention de La Haye du 5 octobre 1961 concernant la compétence des autorités et la loi applicable en matière de protection des mineurs (RS 0.211.231.01), se plaint de la façon dont elle est traitée par le personnel du foyer et relève qu'elle essaie d'apporter à sa fille tout ce qu'elle peut pendant les quelques heures qu'elle passe avec elle, elle ne critique pas l'arrêt attaqué, qui ne concerne que les jours et heures du droit de visite, et introduit des faits nouveaux. Sur ces points, son recours est donc irrecevable (cf. supra consid. 2).</w:t>
      </w:r>
    </w:p>
    <w:p>
      <w:r>
        <w:rPr>
          <w:b/>
        </w:rPr>
        <w:t>E. 4</w:t>
      </w:r>
    </w:p>
    <w:p>
      <w:r>
        <w:t>Pour le reste, la recourante se plaint en substance de devoir rendre visite à sa fille à des heures précises, alors que le trajet est long et que, à la recherche d'un emploi, elle doit se rendre à des rendez-vous, de sorte qu'elle est surchargée et épuisée tant sur le plan physique que psychique.</w:t>
      </w:r>
    </w:p>
    <w:p>
      <w:r>
        <w:rPr>
          <w:b/>
        </w:rPr>
        <w:t>E. 4.1</w:t>
      </w:r>
    </w:p>
    <w:p>
      <w:r>
        <w:t>L'autorité cantonale a notamment retenu que, lors de débordements, la recourante semblait envahie par ses émotions, que, lorsque la tension montait encore, elle pouvait en venir à occulter la présence de sa fille ou la manipuler avec force, sans tenir compte de ses pleurs, que la recourante restait encore difficilement capable de poser des limites à sa fille et que, au foyer, l'enfant avait trouvé un cadre rassurant, lui permettant l'expression pleine de sa personnalité. L'autorité cantonale a jugé que, dans ces conditions, il apparaissait que le droit de visite tel que préconisé par le Service de protection des mineurs était adapté à la situation et aucun motif ne justifiait de l'élargir. Elle a donc confirmé la décision de première instance.</w:t>
      </w:r>
    </w:p>
    <w:p>
      <w:r>
        <w:rPr>
          <w:b/>
        </w:rPr>
        <w:t>E. 4.2</w:t>
      </w:r>
    </w:p>
    <w:p>
      <w:r>
        <w:t>Selon l' art. 310 al. 1 CC , l'autorité tutélaire prend les mesures nécessaires pour protéger l'enfant si son développement est menacé et que les père et mère n'y remédient pas d'eux-mêmes ou sont hors d'état de le faire. 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 mais aussi comme un droit de la personnalité de l'enfant; il doit servir en premier lieu l'intérêt de celui-ci ( ATF 131 III 209 consid. 5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L'exercice irrégulier du droit de visite et les déceptions réitérées qui en découlent pour l'enfant, de même que le non-respect des modalités fixées constituent une violation, par le bénéficiaire du droit de visite, de son obligation de loyauté prévue par l' art. 274 al. 1 CC (arrêts 5A_A172/2012 du 16 mai 2012 consid. 4.1.1; 5A_448/2008 du 2 octobre 2008 consid 4.1, publié in FamPra.ch 2009 p. 246). 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arrêt 5A_826/2009 du 22 mars 2010 consid. 2.1).</w:t>
      </w:r>
    </w:p>
    <w:p>
      <w:r>
        <w:rPr>
          <w:b/>
        </w:rPr>
        <w:t>E. 4.3</w:t>
      </w:r>
    </w:p>
    <w:p>
      <w:r>
        <w:t>En l'espèce, on ne voit pas en quoi l'autorité cantonale aurait excédé son pouvoir d'appréciation en confirmant la modification des modalités du droit de visite. Tel que conçu, le droit de visite assure la régularité, la stabilité et la sécurité du lien mère-enfant. En particulier, il évite d'exposer l'enfant à un sentiment d'angoisse et de tristesse si la mère ne peut pas se rendre à toutes les visites prévues et il correspond à l'organisation du foyer dans lequel l'enfant a pu se développer de manière positive.</w:t>
      </w:r>
    </w:p>
    <w:p>
      <w:r>
        <w:rPr>
          <w:b/>
        </w:rPr>
        <w:t>E. 5</w:t>
      </w:r>
    </w:p>
    <w:p>
      <w:r>
        <w:t>En conclusion, le recours doit être rejeté, dans la mesure où il est recevable. Il n'est pas perçu de frais judiciaires, de sorte que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