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642/2019 vom 28. August 2019</w:t>
      </w:r>
    </w:p>
    <w:p>
      <w:r>
        <w:t>Bundesgericht, 2019-08-28, FR</w:t>
      </w:r>
    </w:p>
    <w:p>
      <w:r>
        <w:rPr>
          <w:b/>
        </w:rPr>
        <w:t xml:space="preserve">Quelle: </w:t>
      </w:r>
      <w:r>
        <w:t>https://mcp.opencaselaw.ch/entscheid/bger_5A_642_2019</w:t>
      </w:r>
    </w:p>
    <w:p>
      <w:r>
        <w:t>FR: TF 5A 642/2019 du 28 août 2019</w:t>
      </w:r>
    </w:p>
    <w:p>
      <w:r>
        <w:t>IT: TF 5A 642/2019 del 28 agosto 2019</w:t>
      </w:r>
    </w:p>
    <w:p>
      <w:pPr>
        <w:pStyle w:val="Heading2"/>
      </w:pPr>
      <w:r>
        <w:t>Regeste</w:t>
      </w:r>
    </w:p>
    <w:p>
      <w:r>
        <w:t>procédure de plainte (refus de l'effet suspensif)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du recours interjeté par A.________ à l'encontre d'une décision sur plainte LP, la Juge présidant la Cour des poursuites et faillites du Tribunal cantonal du canton de Vaud a rejeté la requête d'effet suspensif du recourant par ordonnance du 2 août 2019; en bref, la juge cantonale a considéré que l'intéressé ne demandait pas l'effet suspensif, mais la suspension de la poursuite, c'est-à-dire des mesures provisionnelles tendant à l'admission anticipée de ses conclusions au fond, dont le bien-fondé n'était pas rendu vraisemblable.</w:t>
      </w:r>
    </w:p>
    <w:p>
      <w:r>
        <w:rPr>
          <w:b/>
        </w:rPr>
        <w:t>E. 2</w:t>
      </w:r>
    </w:p>
    <w:p>
      <w:r>
        <w:t>Par écriture expédiée le 15 août 2019, le plaignant exerce un recours au Tribunal fédéral contre la décision précitée; il sollicite le bénéfice de l'assistance judiciaire.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n'y a pas lieu de vérifier les autres conditions de recevabilité, le procédé étant voué à l'échec.</w:t>
      </w:r>
    </w:p>
    <w:p>
      <w:r>
        <w:rPr>
          <w:b/>
        </w:rPr>
        <w:t>E. 4</w:t>
      </w:r>
    </w:p>
    <w:p>
      <w:r>
        <w:t>L'acte attaqué est une décision incidente ( art. 93 al. 1 LTF ; ATF 134 II 192 consid. 1.3; 137 III 475 consid. 1). Or, le recourant n'expose pas en quoi celle-ci pourrait lui causer un préjudice irréparable au sens de l' art. 93 al. 1 let. a LTF ( ATF 142 III 798 consid. 2.4 et la jurisprudence citée); ce seul motif scelle le sort du présent recours. Au surplus, le recourant ne réfute pas, conformément aux exigences posées à l' art. 106 al. 2 LTF (en relation avec l' art. 98 LTF : ATF 134 II 192 consid. 1.5), le motif retenu par l'autorité précédente, mais discute longuement des aspects étrangers à l'objet de la contestation ( ATF 142 I 155 consid. 4.4.2 et les citations). Le recours s'avère donc également irrecevable de ce chef ( ATF 142 III 364 consid. 2.4).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aet b LTF). Comme les conclusions du recourant étaient manifestement dénuées de chances de succès, il convient de rejeter sa requête d'assistance judiciaire et de mettre à sa charge les frais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