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5A_641/2022 vom 14. Dezember 2022</w:t>
      </w:r>
    </w:p>
    <w:p>
      <w:r>
        <w:t>Bundesgericht, 2022-12-14, DE</w:t>
      </w:r>
    </w:p>
    <w:p>
      <w:r>
        <w:rPr>
          <w:b/>
        </w:rPr>
        <w:t xml:space="preserve">Quelle: </w:t>
      </w:r>
      <w:r>
        <w:t>https://mcp.opencaselaw.ch/entscheid/bger_5A_641_2022</w:t>
      </w:r>
    </w:p>
    <w:p>
      <w:r>
        <w:t>FR: TF 5A_641/2022 du 14 décembre 2022</w:t>
      </w:r>
    </w:p>
    <w:p>
      <w:r>
        <w:t>IT: TF 5A_641/2022 del 14 dicembre 2022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Die Beschwerdefrist beträgt 30 Tage ab der Eröffnung der vollständigen Ausfertigung des angefochtenen Entscheids beim Bundesgericht ( Art. 100 Abs. 1 BGG ). Gesetzlich oder richterlich nach Tagen bestimmte Fristen stehen vom 15. Juli bis und mit 15. August still ( Art. 46 Abs. 1 lit. b BGG ). Der Fristenstillstand gilt allerdings nicht in Verfahren betreffend vorsorgliche Massnahmen ( Art. 46 Abs. 2 lit. a BGG ). Der Begriff der vorsorglichen Massnahme gemäss Art. 46 Abs. 2 BGG stimmt mit demjenigen in Art. 98 BGG überein ( BGE 134 III 667 E. 1.3; Urteile 5A_169/2007 vom 21. Juni 2007 E. 3, in: Fampra.ch 2007 S. 953, und 5A_218/2007 vom 7. August 2007 E. 3.2, in: Pra 96/2007 Nr. 138 S. 946).</w:t>
      </w:r>
    </w:p>
    <w:p>
      <w:r>
        <w:rPr>
          <w:b/>
        </w:rPr>
        <w:t>E. 1.2</w:t>
      </w:r>
    </w:p>
    <w:p>
      <w:r>
        <w:t>Der angefochtene Entscheid betrifft in der Hauptsache vorsorgliche Massnahmen im Bereich des Kindesschutzes (vorsorgliche Bestimmung des Aufenthaltsortes des Kindes gemäss Art. 301a Abs. 2 i.V.m. Art. 445 Abs. 1 ZGB , Sozialabklärung gemäss Art. 314 Abs. 1 i.V.m. Art. 446 ZGB ). Für eine dagegen erhobene Beschwerde nach Art. 72 Abs. 2 lit. b Ziff. 6 BGG gilt der Fristenstillstand demzufolge nicht ( Art. 46 Abs. 2 lit. a BGG ). Da die hier angefochtenen Nebenpunkte - der Anspruch auf unentgeltlichen Rechtspflege und die Kosten- sowie Entschädigungsfolgen des vorinstanzlichen Verfahrens - dem Schicksal der Hauptsache folgen (vgl. BGE 134 I 159 E. 1.1; 134 V 138 E. 3; Urteil 5A_997/2018 vom 11. Januar 2019 E. 1), gilt auch hierfür der Fristenstillstand nicht (Urteil 5D_41/2007 vom 27. November 2007 E. 3.3). Daran vermag nichts zu ändern, dass die Rechtsmittelbelehrung im angefochtenen Entscheid keinen Hinweis auf den Fristenstillstand enthält. Anders als im Anwendungsbereich der ZPO ( Art. 145 Abs. 3 ZPO ; vgl. BGE 139 III 78 E. 5.4) sind die Gerichte im Anwendungsbereich des BGG nicht verpflichtet, auf die Ausnahmen zum Fristenstillstand im Verfahren vor Bundesgericht hinzuweisen ( BGE 135 III 374 E. 1.2.2.1).</w:t>
      </w:r>
    </w:p>
    <w:p>
      <w:r>
        <w:rPr>
          <w:b/>
        </w:rPr>
        <w:t>E. 1.3</w:t>
      </w:r>
    </w:p>
    <w:p>
      <w:r>
        <w:t>Der angefochtene Entscheid wurde der Beschwerdeführerin ihren eigenen Angaben zufolge am 1. Juli 2022 zugestellt. Damit lief die 30-tägige Beschwerdefrist am 2. August ab (Art. 100 Abs. 1 i.V.m. Art. 45 Abs. 1 BGG ) und erweist sich die am 23. August 2022 der Schweizerischen Post übergebene Beschwerde als verspätet, sodass auf die Beschwerde nicht einzutreten ist.</w:t>
      </w:r>
    </w:p>
    <w:p>
      <w:r>
        <w:rPr>
          <w:b/>
        </w:rPr>
        <w:t>E. 2</w:t>
      </w:r>
    </w:p>
    <w:p>
      <w:r>
        <w:t>Bei diesem Ausgang des Verfahrens wird die Beschwerdeführerin kosten- ( Art. 66 Abs. 1 BGG ) nicht aber entschädigungspflichtig, da keine Vernehmlassungen eingeholt wurden und dem obsiegenden Beschwerdegegner keine zu entschädigenden Kosten entstanden sind ( Art. 68 Abs. 1 und 2 BGG ). Das Gesuch der Beschwerdeführerin um unentgeltliche Rechtspflege für das Verfahren vor Bundesgericht ist abzuweisen, da die Beschwerde nach dem Ausgeführten von Anfang an als aussichtslos eingestuft werden muss ( Art. 64 Abs. 1 und 2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