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5A_63/2025 vom 27. Januar 2025</w:t>
      </w:r>
    </w:p>
    <w:p>
      <w:r>
        <w:t>Bundesgericht, 2025-01-27, DE</w:t>
      </w:r>
    </w:p>
    <w:p>
      <w:r>
        <w:rPr>
          <w:b/>
        </w:rPr>
        <w:t xml:space="preserve">Quelle: </w:t>
      </w:r>
      <w:r>
        <w:t>https://mcp.opencaselaw.ch/entscheid/bger_5A_63_2025</w:t>
      </w:r>
    </w:p>
    <w:p>
      <w:r>
        <w:t>FR: TF 5A_63/2025 du 27 janvier 2025</w:t>
      </w:r>
    </w:p>
    <w:p>
      <w:r>
        <w:t>IT: TF 5A_63/2025 del 27 gennaio 2025</w:t>
      </w:r>
    </w:p>
    <w:p>
      <w:pPr>
        <w:pStyle w:val="Heading2"/>
      </w:pPr>
      <w:r>
        <w:t>Erwägungen</w:t>
      </w:r>
    </w:p>
    <w:p>
      <w:r>
        <w:rPr>
          <w:b/>
        </w:rPr>
        <w:t>E. 1</w:t>
      </w:r>
    </w:p>
    <w:p>
      <w:r>
        <w:t>Angefochten ist der kantonal letztinstanzliche Entscheid im Zusammenhang mit zivilrechtlichem Persönlichkeitsschutz; die Beschwerde in Zivilsachen steht offen ( Art. 72 Abs. 1 und Art. 75 Abs. 1 BGG ). Zu beachten ist indes Folgendes: Zum einen geht es um eine vorsorgliche Massnahme, weshalb im bundesgerichtlichen Verfahren nur die Rüge der Verletzung verfassungsmässiger Rechte möglich ist ( Art. 98 BGG ). Es gilt somit das strenge Rügeprinzip (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Zum anderen ist ein Nichteintretensentscheid angefochten, weshalb im bundesgerichtlichen Verfahren einzig die Eintretensfrage im kantonalen Berufungsverfahren zum Anfechtungsgegenstand gemacht werden kann ( BGE 135 II 38 E. 1.2; 139 II 233 E. 3.2). Darauf haben sich die erwähnten Verfassungsrügen zu beziehen und es ist mithin mit substanziierten Rügen aufzuzeigen, welche verfassungsmässigen Rechte und inwiefern diese durch das Nichteintreten auf die Berufung verletzt sein sollen. Im Übrigen hat die Beschwerde ein Rechtsbegehren zu enthalten ( Art. 42 Abs. 1 BGG ).</w:t>
      </w:r>
    </w:p>
    <w:p>
      <w:r>
        <w:rPr>
          <w:b/>
        </w:rPr>
        <w:t>E. 2</w:t>
      </w:r>
    </w:p>
    <w:p>
      <w:r>
        <w:t>Die Beschwerde enthält weder ein Rechtsbegehren noch Verfassungsrügen noch bezieht sich die Beschwerdeführerin auf die Nichteintretenserwägungen. Vielmehr schildert sie in appellatorischer Weise Sachverhaltselemente und erhebt Vorwürfe an die Adresse der Beschwerdegegnerin.</w:t>
      </w:r>
    </w:p>
    <w:p>
      <w:r>
        <w:rPr>
          <w:b/>
        </w:rPr>
        <w:t>E. 3</w:t>
      </w:r>
    </w:p>
    <w:p>
      <w:r>
        <w:t>Damit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