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63/2020 vom 11. Februar 2020</w:t>
      </w:r>
    </w:p>
    <w:p>
      <w:r>
        <w:t>Bundesgericht, 2020-02-11, DE</w:t>
      </w:r>
    </w:p>
    <w:p>
      <w:r>
        <w:rPr>
          <w:b/>
        </w:rPr>
        <w:t xml:space="preserve">Quelle: </w:t>
      </w:r>
      <w:r>
        <w:t>https://mcp.opencaselaw.ch/entscheid/bger_5A_63_2020</w:t>
      </w:r>
    </w:p>
    <w:p>
      <w:r>
        <w:t>FR: TF 5A 63/2020 du 11 février 2020</w:t>
      </w:r>
    </w:p>
    <w:p>
      <w:r>
        <w:t>IT: TF 5A 63/2020 del 11 febbraio 2020</w:t>
      </w:r>
    </w:p>
    <w:p>
      <w:pPr>
        <w:pStyle w:val="Heading2"/>
      </w:pPr>
      <w:r>
        <w:t>Regeste</w:t>
      </w:r>
    </w:p>
    <w:p>
      <w:r>
        <w:t>Aktenentfernung; Ausstand | Familienrecht</w:t>
      </w:r>
    </w:p>
    <w:p>
      <w:pPr>
        <w:pStyle w:val="Heading2"/>
      </w:pPr>
      <w:r>
        <w:t>Erwägungen</w:t>
      </w:r>
    </w:p>
    <w:p>
      <w:r>
        <w:rPr>
          <w:b/>
        </w:rPr>
        <w:t>E. 1</w:t>
      </w:r>
    </w:p>
    <w:p>
      <w:r>
        <w:t>Aufgrund des zuteilenden Vorbehaltes in Art. 450f ZGB sind die Kantone zur Regelung des Verfahrens vor der KESB zuständig. Die Verletzung kantonalen Rechts überprüft das Bundesgericht nur im Zusammenhang mit einer Verletzung verfassungsmässiger Rechte, wobei die Rüge im Vordergrund steht, dass das kantonale Recht willkürlich angewandt worden sei ( BGE 139 III 225 E. 2.3 S. 231; 139 III 252 E. 1.4 S. 254; 142 II 369 E. 2.1 S. 372). Verfassungsrügen allgemein und Willkürrügen im Besonderen sind klar und detailliert zu erheben; auf ungenügend substanziierte Rügen und rein appellatorische Kritik ist nicht einzutreten ( BGE 140 III 264 E. 2.3 S. 266). Willkür in der Rechtsanwendung liegt im Übrigen nicht schon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S. 319 ; 140 I 201 E. 6.1 S. 205; 140 III 167 E. 2.1 S. 168; 141 IV 305 E. 1.2 S. 308 f.).</w:t>
      </w:r>
    </w:p>
    <w:p>
      <w:r>
        <w:rPr>
          <w:b/>
        </w:rPr>
        <w:t>E. 2</w:t>
      </w:r>
    </w:p>
    <w:p>
      <w:r>
        <w:t>Das Obergericht hat auf § 65 Abs. 1 ZSRV/TG abgestellt, wonach zu den Verfahrensakten alle im Verfahren hergestellten und eingereichten Urkunden gehören wie Aktenverzeichnisse, Verfahrens- und Verhandlungsprotokolle, Gutachten, Amtsberichte, Vernehmlassungen, prozessleitende Verfügungen, Vorladungen, Empfangsbescheinigungen und ähnliche Belege sowie die getroffenen Entscheide, die von den Parteien eingereichten Eingaben und Rechtsschriften sowie Plädoyernotizen und die von den Parteien eingereichten Beweisurkunden, die ihnen nicht zurückgegeben werden, wie insbesondere Fotokopien, sowie die beigezogenen Akten. Es hat gefolgert, dass keine rechtliche Grundlage bestehe, den Brief vom 5. September 2019 oder Seiten des Protokolls vom 28. August 2019 aus den Verfahrensakten zu entfernen bzw. Bestandteile davon unkenntlich zu machen. Soweit der Beschwerdeführer sich darauf berufe, das Schreiben bzw. das Protokoll gebe die von ihm angeführte Begründung nicht wieder, übersehe er, dass seine Schreiben weiterhin im Recht blieben und ebenfalls Grundlage für eine spätere Entscheidung in der Sache bildeten, gegen welche Rechtsmittel gegeben seien, mit welchen eine allfällige unrichtige Würdigung geltend gemacht werden könne. Mit dieser - im Übrigen zutreffenden - Begründung setzt sich der Beschwerdeführer gar nicht erst auseinander. Vielmehr macht er in Bezug auf das Schreiben vom 5. September 2019 geltend, dieses sei tendenziös und enthalte Unterstellungen, und bringt hinsichtlich des Protokolles vor, mit dem von der KESB in Aussicht gestellten Vorgehen nicht einverstanden zu sein. Damit ist eine willkürliche Anwendung der relevanten kantonal-rechtlichen Grundlagen nicht ansatzweise dargetan. Ebenso wenig ist ersichtlich, inwiefern ein treuwidriges staatliches Handeln im Sinn von Art. 5 BV vorliegen soll.</w:t>
      </w:r>
    </w:p>
    <w:p>
      <w:r>
        <w:rPr>
          <w:b/>
        </w:rPr>
        <w:t>E. 3</w:t>
      </w:r>
    </w:p>
    <w:p>
      <w:r>
        <w:t>Im Zusammenhang mit dem verlangten Ausstand der Vizepräsidentin der KESB hat das Obergericht festgehalten, gemäss § 29 Abs. 1 KESV/TG kämen für das Verfahren vor der KESB sinngemäss die Bestimmungen der ZPO zur Anwendung. Sodann hat es eine Befangenheit im Sinn von Art. 47 ZPO verneint mit der Begründung, diese ergebe sich nicht allein durch die Abweisung eines Gesuches um unentgeltliche Rechtspflege und ebenso wenig aus der im Zusammenhang mit der Absage der Teilnahme am Gespräch vom 28. August 2019 stehenden Offerte an den Beschwerdeführer für ein Gespräch über die Bedürfnisse der Tochter. Soweit ein Kanton im Bereich des Verfahrens vor der KESB die ZPO als anwendbar erklärt, kommt diese als subsidiäres kantonales Recht zur Anwendung, weshalb deren Anwendung ebenfalls nur auf Willkür hin überprüft werden kann ( BGE 139 III 225 E. 2.3 S. 231; 140 III 385 E. 2.3 S. 387; Urteil 5A_407/2019 vom 28. Oktober 2019 E. 2.1). Dass das Obergericht in Willkür verfallen sei und auch die Gebote gemäss Art. 5 BV verletzt habe, macht der Beschwerdeführer zwar geltend. Indes führt er nicht in nachvollziehbarer Weise aus, inwiefern dies gegeben sein soll, indem er abstrakt und ohne nähere Ausführungen eine Feindschaft der Vizepräsidentin behauptet und ferner (wie bereits vor Obergericht) abstrakt geltend macht, diese verfüge über Wissen, welches sie ihm vorenthalte bzw. nicht Eingang in die Akten gefunden habe. Offensichtlich wollte die Vizepräsidentin dem Beschwerdeführer, nachdem dieser am "runden Tisch" nicht dabei sein konnte, ein Gespräch anbieten, um eine gute Lösung zu finden; wie sich daraus ein Befangenheitsgrund ergeben soll, wird nicht dargetan.</w:t>
      </w:r>
    </w:p>
    <w:p>
      <w:r>
        <w:rPr>
          <w:b/>
        </w:rPr>
        <w:t>E. 4</w:t>
      </w:r>
    </w:p>
    <w:p>
      <w:r>
        <w:t>Nach dem Gesagten ist die Beschwerde offensichtlich unbegründet, soweit auf sie einzutreten ist, weshalb im vereinfachten Verfahren nach Art. 109 Abs. 2 lit. a BGG zu entscheiden ist.</w:t>
      </w:r>
    </w:p>
    <w:p>
      <w:r>
        <w:rPr>
          <w:b/>
        </w:rPr>
        <w:t>E. 5</w:t>
      </w:r>
    </w:p>
    <w:p>
      <w:r>
        <w:t>Die Gerichtskosten von Fr. 2'000.--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