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5A_639/2024 vom 1. Oktober 2024</w:t>
      </w:r>
    </w:p>
    <w:p>
      <w:r>
        <w:t>Bundesgericht, 2024-10-01, DE</w:t>
      </w:r>
    </w:p>
    <w:p>
      <w:r>
        <w:rPr>
          <w:b/>
        </w:rPr>
        <w:t xml:space="preserve">Quelle: </w:t>
      </w:r>
      <w:r>
        <w:t>https://mcp.opencaselaw.ch/entscheid/bger_5A_639_2024</w:t>
      </w:r>
    </w:p>
    <w:p>
      <w:r>
        <w:t>FR: TF 5A_639/2024 du 1 octobre 2024</w:t>
      </w:r>
    </w:p>
    <w:p>
      <w:r>
        <w:t>IT: TF 5A_639/2024 del 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in einer Eheschutzsache; die Beschwerde in Zivilsachen ist zulässig (Art. 72 Abs. 1, Art. 75. Abs. 1 und Art. 90 BGG ).</w:t>
      </w:r>
    </w:p>
    <w:p>
      <w:r>
        <w:rPr>
          <w:b/>
        </w:rPr>
        <w:t>E. 2</w:t>
      </w:r>
    </w:p>
    <w:p>
      <w:r>
        <w:t>Allerdings ist die Vorinstanz auf die Berufung der Beschwerdeführerin nicht eingetreten. Anfechtungsgegenstand kann deshalb nur die Frage bilden, ob das Obergericht zu Recht einen Nichteintretensentscheid gefällt hat ( BGE 135 II 38 E. 1.2; 139 II 233 E. 3.2). Diesbezüglich hat die Beschwerde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3</w:t>
      </w:r>
    </w:p>
    <w:p>
      <w:r>
        <w:t>Eine dahingehende Begründung findet sich in der Beschwerde nicht. Die Beschwerdeführerin schildert ihre Herkunft, ihr Leben und ihre Beziehung zum Beschwerdegegner; dies steht indes ausserhalb des möglichen Anfechtungsgegenstandes. Diesbezüglich ist der Vollständigkeit halber festzuhalten, dass nur ein vollständig ausgefertigter, d.h. begründeter erstinstanzlicher Entscheid beim Obergericht hätte berufen werden können ( Art. 311 Abs. 1 ZPO ) und hierfür innert 10 Tagen seit der Zustellung des unbegründeten Entscheides eine Begründung hätte verlangt werden müssen ( Art. 239 Abs. 2 ZPO ).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