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5A_639/2023 vom 5. September 2023</w:t>
      </w:r>
    </w:p>
    <w:p>
      <w:r>
        <w:t>Bundesgericht, 2023-09-05, DE</w:t>
      </w:r>
    </w:p>
    <w:p>
      <w:r>
        <w:rPr>
          <w:b/>
        </w:rPr>
        <w:t xml:space="preserve">Quelle: </w:t>
      </w:r>
      <w:r>
        <w:t>https://mcp.opencaselaw.ch/entscheid/bger_5A_639_2023</w:t>
      </w:r>
    </w:p>
    <w:p>
      <w:r>
        <w:t>FR: TF 5A_639/2023 du 5 septembre 2023</w:t>
      </w:r>
    </w:p>
    <w:p>
      <w:r>
        <w:t>IT: TF 5A_639/2023 del 5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Beschwerdegegenstand bildet ein kantonal letztinstanzlicher Entscheid über die aufschiebende Wirkung ( Art. 72 Abs. 1 und Art. 75 Abs. 1 BGG ). Er ist, da nicht verfahrensabschliessend, ein Zwischenentscheid (vgl. BGE 134 II 192 E. 1.5), der nur unter den besonderen Voraussetzungen von Art. 93 Abs. 1 BGG mit Beschwerde beim Bundesgericht angefochten werden kann, wobei diese in der Beschwerde darzutun sind ( BGE 137 III 324 E. 1.1; 141 IV 289 E. 1.3).</w:t>
      </w:r>
    </w:p>
    <w:p>
      <w:r>
        <w:t>Sodann ist der Entscheid über die aufschiebende Wirkung eine vorsorgliche Massnahme im Sinn von Art. 98 BGG ( BGE 134 II 192 E. 1.5; 137 III 475 E. 2), weshalb nur verfassungsmässige Rechte als verletzt gerügt werden können, wofür das strikte Rügeprinzip gemäss Art. 106 Abs. 2 BGG gilt und bloss appellatorische Ausführungen ungenügend sind (zu den diesbezüglichen Begründungsvoraussetzungen namentlich BGE 134 II 244 E. 2.2; 142 III 364 E. 2.4).</w:t>
      </w:r>
    </w:p>
    <w:p>
      <w:r>
        <w:rPr>
          <w:b/>
        </w:rPr>
        <w:t>E. 2</w:t>
      </w:r>
    </w:p>
    <w:p>
      <w:r>
        <w:t>Weder finden sich in der Beschwerde Ausführungen zu den besonderen Anfechtungsvoraussetzungen von Art. 93 Abs. 1 BGG noch werden Verfassungsrügen erhoben; vielmehr beschränkt sich die Beschwerdeführerin auf appellatorische Vorbringen. Die Beschwerde ist damit nicht hinreichend begründet.</w:t>
      </w:r>
    </w:p>
    <w:p>
      <w:r>
        <w:t>Nur der Vollständigkeit halber ist festzuhalten, dass den Ausführungen, selbst wenn sie prozessual korrekt erhoben worden wären, nicht gefolgt werden könnte: Zentrale Aussage der Beschwerdeführerin ist, dass es sich bei Eheschutzsachen nicht um vorsorgliche Massnahmen handle und deshalb die Berufung von Gesetzes wegen aufschiebende Wirkung habe. Dies trifft indes nicht zu; gemäss bundesgerichtlicher Rechtsprechung ( BGE 137 III 475 E. 4.1; 138 III 565 E. 4.3.1 und insb. dortige unpublizierte E. 4.2; sodann unpublizierte Urteile 5A_754/2013 vom 4. Februar 2014 E. 2.3; 5A_819/2015 vom 24. November 2016 E. 3; 5A_474/2020 vom 12. Juni 2020 E. 4; 5A_351/2021 vom 29. September 2021 E. 2.2) sind Eheschutzentscheide vorsorgliche Massnahmen, bei welchen die Berufung grundsätzlich keine aufschiebende Wirkung hat ( Art. 314 Abs. 4 lit. b ZPO ), sondern diese nur auf begründetes Gesuch hin durch das Berufungsgericht erteilt werden kann ( Art. 315 Abs. 5 ZPO ).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im vereinfachten Verfahren nach Art. 108 Abs. 1 lit. b BGG nicht einzutreten ist.</w:t>
      </w:r>
    </w:p>
    <w:p>
      <w:r>
        <w:rPr>
          <w:b/>
        </w:rPr>
        <w:t>E. 4</w:t>
      </w:r>
    </w:p>
    <w:p>
      <w:r>
        <w:t>Die Gerichtskosten sind der Beschwerdeführerin aufzuerlegen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