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5A_638/2025 vom 24. September 2025</w:t>
      </w:r>
    </w:p>
    <w:p>
      <w:r>
        <w:t>Bundesgericht, 2025-09-24, DE</w:t>
      </w:r>
    </w:p>
    <w:p>
      <w:r>
        <w:rPr>
          <w:b/>
        </w:rPr>
        <w:t xml:space="preserve">Quelle: </w:t>
      </w:r>
      <w:r>
        <w:t>https://mcp.opencaselaw.ch/entscheid/bger_5A_638_2025</w:t>
      </w:r>
    </w:p>
    <w:p>
      <w:r>
        <w:t>FR: TF 5A_638/2025 du 24 septembre 2025</w:t>
      </w:r>
    </w:p>
    <w:p>
      <w:r>
        <w:t>IT: TF 5A_638/2025 del 24 settembre 2025</w:t>
      </w:r>
    </w:p>
    <w:p>
      <w:pPr>
        <w:pStyle w:val="Heading2"/>
      </w:pPr>
      <w:r>
        <w:t>Erwägungen</w:t>
      </w:r>
    </w:p>
    <w:p>
      <w:r>
        <w:rPr>
          <w:b/>
        </w:rPr>
        <w:t>E. 1</w:t>
      </w:r>
    </w:p>
    <w:p>
      <w:r>
        <w:t>Angefochten ist der selbständig eröffnete Zwischenentscheid über ein Ausstandsbegehren ( Art. 92 BGG ). Die Vorinstanz hat als letzte kantonale Instanz auf Rechtsmittel hin entschieden ( Art. 75 BGG ). Bei Zwischenentscheiden folgt der Rechtsweg demjenigen der Hauptsache ( BGE 147 III 451 E. 1.3). Dort geht es um eine Scheidung und damit um eine Zivilsache ( Art. 72 Abs. 1 BGG ) ohne Vermögenswert ( BGE 137 III 380 E. 1.1). Der Beschwerdeführer ist ausserdem zur Beschwerde berechtigt ( Art. 76 Abs. 1 BGG ) und hat diese innert Frist (Art. 100 Abs. 1 i.V.m. Art. 46 Abs. 1 lit. b BGG ) eingereicht. Die Beschwerde in Zivilsachen erweist sich folglich als das zutreffende Rechtsmittel und auf die Beschwerde kann grundsätzlich eingetreten werden.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In der Sache ist strittig, ob der Bezirksrichter den Anschein der Befangenheit begründet hat, indem er die Beschwerdegegnerin anfragte, ob sie ihre Klagebegehren beschränken wolle, und gleichzeitig darauf hinwies, dass so das Scheidungsverfahren rascher abgeschlossen werden könnte.</w:t>
      </w:r>
    </w:p>
    <w:p>
      <w:r>
        <w:rPr>
          <w:b/>
        </w:rPr>
        <w:t>E. 3.1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144 I 159 E. 4.3; 142 III 732 E. 4.2.2; 140 III 221 E. 4.1).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732 E. 4.2.2; 140 III 221 E. 4.1; 139 III 433 E. 2.1.2). Art. 47 ZPO umschreibt die Ausstandsgründe auf Gesetzesebene. Gemäss der Generalklausel von Art. 47 Abs. 1 lit. f ZPO tritt eine Gerichtsperson in den Ausstand, wenn sie aus anderen Gründen, insbesondere wegen Freundschaft oder Feindschaft mit einer Partei oder ihrer Vertretung, befangen sein könnte. Bei der Auslegung des Gesetzes sind die genannten Verfassungs- und Konventionsbezüge zu beachten ( BGE 140 III 221 E. 4.2 mit Hinweis).</w:t>
      </w:r>
    </w:p>
    <w:p>
      <w:r>
        <w:rPr>
          <w:b/>
        </w:rPr>
        <w:t>E. 3.2</w:t>
      </w:r>
    </w:p>
    <w:p>
      <w:r>
        <w:t>Das Obergericht erwog im Wesentlichen, im Verhalten des Bezirksrichters könne keine Befangenheit erblickt werden. Es liege im Interesse des Gerichts und der Beteiligten, dass ein gerichtliches Verfahren nicht übermässig lange dauere und so Zeit und Kosten gespart werden könnten. Seien weniger Rechtsbegehren zu beurteilen, so verringere sich der Aufwand für alle Beteiligten und die Verfahrensdauer werde verkürzt. Mit einem solchen Hinweis werde somit keine Partei bevorzugt.</w:t>
      </w:r>
    </w:p>
    <w:p>
      <w:r>
        <w:rPr>
          <w:b/>
        </w:rPr>
        <w:t>E. 3.3</w:t>
      </w:r>
    </w:p>
    <w:p>
      <w:r>
        <w:t>Dagegen trägt der Beschwerdeführer erstens vor, die Vorinstanz hätte die Tonaufnahmen berücksichtigen müssen, da das Verhalten des Bezirksrichters, insbesondere der Ton seiner Äusserungen, für die Beurteilung der Unparteilichkeit bedeutsam seien. Die Vorinstanz habe somit den Sachverhalt ungenügend abgeklärt, was eine Verletzung von Art. 10 Abs. 2 StPO (sic!) i.V.m. Art. 9 BV darstelle.</w:t>
      </w:r>
    </w:p>
    <w:p>
      <w:r>
        <w:t>Die Vorinstanz hatte den Antrag auf Beizug der Tonaufnahmen abgewiesen, weil der Beschwerdeführer diesen vor Bezirksgericht nicht gestellt hatte. Weder greift der Beschwerdeführer diese Feststellung an noch erläutert er, inwiefern die Vorinstanz bei dieser Ausgangslage die Beweise willkürlich gewürdigt haben sollte ( Art. 9 BV ). Zudem trat die Vorinstanz in diesem Punkt auf die Beschwerde nicht ein, weil der Beschwerdeführer nicht dargelegt hatte, warum es auf den Wortlaut der Äusserungen ankomme. Auch dies zieht der Beschwerdeführer nicht in Zweifel, weshalb auf seine nachgeschobene Begründung nicht einzugehen ist. Abgesehen davon würde es nicht genügen, allgemein auf den "Ton der Äusserungen" hinzuweisen, ohne diesen konkret zu umschreiben und zu erläutern, inwiefern sich daraus ein Anschein der Befangenheit ergäbe. Auf die Beschwerde ist daher insoweit mangels genügender Begründung ( Art. 42 Abs. 2 BGG , vgl. oben E. 2.1) nicht einzutreten.</w:t>
      </w:r>
    </w:p>
    <w:p>
      <w:r>
        <w:rPr>
          <w:b/>
        </w:rPr>
        <w:t>E. 3.4</w:t>
      </w:r>
    </w:p>
    <w:p>
      <w:r>
        <w:t>Weiter rügt der Beschwerdeführer eine Verletzung von Art. 47 Abs. 1 lit. f ZPO , Art. 30 Abs. 1 BV und Art. 6 Ziff. 1 EMRK , die darin liege, dass die Vorinstanz den Anschein der Befangenheit verneint habe. Es sei zu beachten, dass die Beschwerdegegnerin möglichst rasch habe geschieden werden wollen, was sie mehrfach erklärt habe. Wenn nun der Richter, der später in der Sache entscheide, einseitig entsprechende "Empfehlungen" bzw. "Ratschläge" abgebe, könne dies von der anderen Partei als Benachteiligung verstanden werden.</w:t>
      </w:r>
    </w:p>
    <w:p>
      <w:r>
        <w:t>Damit beruft sich der Beschwerdeführer teilweise auf Tatsachen, welche die Vorinstanz nicht festgestellt hat, ohne dass er in diesem Zusammenhang eine unvollständige, d.h. willkürliche Sachverhaltsfeststellung rügt (vgl. oben E. 2.2). Dass die Beschwerdegegnerin "mehrfach erklärt" hätte, dass es ihr "vorrangiges Ziel" sei, möglichst rasch geschieden zu werden, geht aus den Feststellungen der Vorinstanz nicht hervor. Ebenso wenig spricht die Vorinstanz von "Empfehlungen" oder "Ratschlägen", sondern vielmehr davon, dass der Bezirksrichter der Beschwerdegegnerin "nahe gelegt" bzw. sie "gefragt" habe, ihre Anträge zu beschränken, damit allenfalls "ein rascherer Abschluss des Verfahrens" erreicht werden könne. Dass es ihm dabei darum gegangen wäre, die Interessen der Beschwerdegegnerin zu befördern, wie dies im Wort "Empfehlung" zumindest anklingt, findet somit in den Sachverhaltsfeststellungen der Vorinstanz keine Stütze. Vor diesem Hintergrund ist nicht ersichtlich, inwiefern die Äusserungen den Anschein der Befangenheit des Bezirksrichters begründen könnten. Wie sich aus Art. 29 Abs. 1 BV ergibt, haben die Parteien Anspruch darauf, dass ihre Rechtsbegehren innert angemessener Frist beurteilt werden. Entsprechend weist das Gesetz das Gericht an, Anordnungen zur Vereinfachung des Prozesses zu treffen, unter anderem, indem es das Verfahren auf einzelne Fragen oder Rechtsbegehren beschränkt ( Art. 125 lit. a ZPO ). Schon deswegen ist es nicht zu beanstanden, wenn das Gericht die Parteien auf den Einfluss ihrer Rechtsbegehren auf die Verfahrensdauer hinweist und damit die Frage nach der Beschränkung ihrer Rechtsbegehren verbindet. In diesem Vorgehen liegt weder eine Empfehlung noch eine Bevorzugung der betroffenen Partei, zumal nicht davon ausgegangen werden kann, dass die beklagte Partei stets an einer Verfahrensverzögerung interessiert ist. Soweit auf die Beschwerde eingetreten werden kann, erweist sie sich folglich als unbegründet.</w:t>
      </w:r>
    </w:p>
    <w:p>
      <w:r>
        <w:rPr>
          <w:b/>
        </w:rPr>
        <w:t>E. 4</w:t>
      </w:r>
    </w:p>
    <w:p>
      <w:r>
        <w:t>Bei diesem Verfahrensausgang wird der Beschwerdeführer kostenpflichtig ( Art. 66 Abs. 1 BGG ). Den übrigen Verfahrensbeteiligten ist keine Parteientschädigung zuzusprechen, zumal ihnen aus dem bundesgerichtlichen Verfahren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