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637/2010 vom 25. Januar 2011</w:t>
      </w:r>
    </w:p>
    <w:p>
      <w:r>
        <w:t>Bundesgericht, 2011-01-25, DE</w:t>
      </w:r>
    </w:p>
    <w:p>
      <w:r>
        <w:rPr>
          <w:b/>
        </w:rPr>
        <w:t xml:space="preserve">Quelle: </w:t>
      </w:r>
      <w:r>
        <w:t>https://mcp.opencaselaw.ch/entscheid/bger_5A_637_2010</w:t>
      </w:r>
    </w:p>
    <w:p>
      <w:r>
        <w:t>FR: TF 5A 637/2010 du 25 janvier 2011</w:t>
      </w:r>
    </w:p>
    <w:p>
      <w:r>
        <w:t>IT: TF 5A 637/2010 del 25 gennaio 2011</w:t>
      </w:r>
    </w:p>
    <w:p>
      <w:pPr>
        <w:pStyle w:val="Heading2"/>
      </w:pPr>
      <w:r>
        <w:t>Regeste</w:t>
      </w:r>
    </w:p>
    <w:p>
      <w:r>
        <w:t>unentgeltliche Rechtspflege | Familienrecht</w:t>
      </w:r>
    </w:p>
    <w:p>
      <w:pPr>
        <w:pStyle w:val="Heading2"/>
      </w:pPr>
      <w:r>
        <w:t>Erwägungen</w:t>
      </w:r>
    </w:p>
    <w:p>
      <w:r>
        <w:rPr>
          <w:b/>
        </w:rPr>
        <w:t>E. 1.1</w:t>
      </w:r>
    </w:p>
    <w:p>
      <w:r>
        <w:t>Angefochten ist ein kantonal letztinstanzlicher Entscheid ( Art. 75 Abs. 1 BGG ), in welchem der Beschwerdeführerin vor zweiter Instanz die unentgeltliche Rechtspflege entzogen wurde. Es handelt sich um einen Zwischenentscheid, der einen nicht leicht wieder gutzumachenden Nachteil bewirken kann ( Art. 93 Abs. 1 lit. a BGG ; BGE 129 I 129 E. 1.1 S. 131). Nach dem Grundsatz der Einheit des Verfahrens sind Zwischenentscheide mit dem in der Hauptsache zulässigen Rechtsmittel anzufechten ( BGE 133 III 645 E. 2.2 S. 647; BGE 134 V 138 E. 3 S. 143 f.).</w:t>
      </w:r>
    </w:p>
    <w:p>
      <w:r>
        <w:rPr>
          <w:b/>
        </w:rPr>
        <w:t>E. 1.2</w:t>
      </w:r>
    </w:p>
    <w:p>
      <w:r>
        <w:t>In der Hauptsache sind vorliegend Unterhaltsbeiträge an ein unmündiges Kind streitig, womit eine Zivilsache mit Vermögenswert vorliegt ( BGE 133 III 393 E. 2 S. 395). Eine Beschwerde in Zivilsachen ist in einem solchen Fall nur zulässig, wenn der Streitwert mindestens Fr. 30'000.-- beträgt ( Art. 74 Abs. 1 lit. b BGG ) oder es sich um eine Rechtsfrage von grundsätzlicher Bedeutung handelt ( Art. 74 Abs. 2 lit. a BGG ). Die Vorinstanz hat den Streitwert vorliegend "auf unter Fr. 30'000.--" geschätzt und nennt in der Rechtsmittelbelehrung einzig die subsidiäre Verfassungsbeschwerde (unter Vorbehalt von Art. 74 Abs. 2 lit. a BGG ). Bei wiederkehrenden Leistungen entspricht der Streitwert dem Kapitalwert ( Art. 51 Abs. 4 Satz 1 BGG ). Ist die Dauer der Leistungspflicht ungewiss, gilt als Kapitalwert der zwanzigfache Betrag der einjährigen Leistung ( Art. 51 Abs. 4 Satz 2 BGG ). Streitig ist vorliegend ein Kinderunterhaltsbeitrag von Fr. 510.-- monatlich (oder Fr. 6'120.-- pro Jahr). Die Dauer der Unterhaltspflicht ist ungewiss, denn sie endet nicht einfach im Zeitpunkt der Mündigkeit (vgl. Art. 277 Abs. 2 ZGB ). Deshalb beträgt der Kapitalwert der Leistung vorliegend Fr. 122'400.--. Für eine "Schätzung" des Streitwertes bleibt kein Platz. Die aus der falschen Streitwertberechnung resultierende falsche Rechtsmittelbelehrung hat vorliegendenfalls allerdings keine Auswirkungen, da die Beschwerdeführerin das richtige Rechtsmittel ergriffen hat, so dass Art. 49 BGG nicht bemüht werden muss. Daraus folgt: Die Beschwerde in Zivilsachen ist in der Hauptsache zulässig, womit sie auch gegen den vorliegenden Zwischenentscheid ergriffen werden kann.</w:t>
      </w:r>
    </w:p>
    <w:p>
      <w:r>
        <w:rPr>
          <w:b/>
        </w:rPr>
        <w:t>E. 1.3</w:t>
      </w:r>
    </w:p>
    <w:p>
      <w:r>
        <w:t>Die Beschwerdeführerin macht geltend, die verfassungsrechtlichen Minimalgarantien gemäss Art. 29 Abs. 3 BV seien missachtet worden. 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2</w:t>
      </w:r>
    </w:p>
    <w:p>
      <w:r>
        <w:t>Streitig ist vorliegend, ob das Obergericht des Kantons Solothurn der Beschwerdeführerin die unentgeltliche Rechtspflege wegen Aussichtslosigkeit entziehen durfte, nachdem ihr das Bundesgericht diese mit Urteil 5A_54/2010 vom 19. März 2010 bewilligt hatte.</w:t>
      </w:r>
    </w:p>
    <w:p>
      <w:r>
        <w:rPr>
          <w:b/>
        </w:rPr>
        <w:t>E. 2.1</w:t>
      </w:r>
    </w:p>
    <w:p>
      <w:r>
        <w:t>Hintergrund des Bundesgerichtsentscheids vom 19. März 2010 war folgender: Die Beschwerdeführerin hatte damals in Anwendung von § 292 Abs. 2 ZPO /SO Appellation erklärt. In dieser sog. Appellationserklärung ist einzig darzulegen, welche Dispositivziffer des vorinstanzlichen Entscheids angefochten wird, während die eigentliche Appellationsbegründung erst zu einem späteren Zeitpunkt erfolgt. Dennoch entzog damals das Obergericht des Kantons Solothurn der Beschwerdeführerin einzig gestützt auf die vorinstanzlichen Akten die unentgeltliche Rechtspflege wegen Aussichtslosigkeit. Das Bundesgericht erachtete dieses Vorgehen für unzulässig und gewährte der Beschwerdeführerin die unentgeltliche Rechtspflege, denn es gehe nicht an, ihr diese zu entziehen, bevor ihre Einwände im Rechtsmittelverfahren bekannt seien (vorerwähntes Urteil, E. 2.5). Das Bundesgericht hat im besagten Urteil vom 19. März 2010 die unentgeltliche Rechtspflege nicht nur wegen der noch nicht bekannten Appellationsbegründung gewährt, sondern ausdrücklich auch mit Blick auf die sich im vorliegenden Fall stellenden Rechtsfragen (vorerwähntes Urteil, E. 2.6). Im vorliegend angefochtenen Entscheid begründet das Obergericht den Entzug der unentgeltlichen Rechtspflege damit, dass die Beschwerdeführerin ihre Mitwirkungsobliegenheit vernachlässigt habe. Sie habe im Zusammenhang mit den von ihr angeregten Beweiserhebungen nur vage Andeutungen preisgegeben, und es sei nicht Aufgabe des Gerichts, als Detektiv tätig zu werden. Es sei daher "auch dem Gericht nicht möglich, Feststellungen zum Sachverhalt zu treffen". Ab welchem Punkt das Gericht zur Annahme berechtigt ist, es sei ihm nicht möglich, den Sachverhalt festzustellen und wie weit die Mitwirkungsobliegenheit der Beschwerdeführerin im Rahmen der in casu anwendbaren unbeschränkten Untersuchungsmaxime geht (vgl. Art. 280 Abs. 2 ZGB ), bildet indessen gerade eine im vorliegenden Appellationsverfahren zu entscheidende Rechtsfrage, derentwegen das Bundesgericht den Anschein der Aussichtslosigkeit mit Urteil vom 19. März 2010 ausdrücklich verneint hatte (erwähntes Urteil, E. 2.6 am Ende). Damit erweist sich die Minimalgarantie von Art. 29 Abs. 3 BV erneut als verletzt.</w:t>
      </w:r>
    </w:p>
    <w:p>
      <w:r>
        <w:rPr>
          <w:b/>
        </w:rPr>
        <w:t>E. 2.2</w:t>
      </w:r>
    </w:p>
    <w:p>
      <w:r>
        <w:t>Zudem gilt es Folgendes zu beachten: Entgegen der Vorinstanz dürfen beweismässige Abklärungen, die inhaltlich Gegenstand des Hauptsacheverfahrens bilden, nicht in das Verfahren betreffend unentgeltliche Rechtspflege "vorverlagert" werden; eine solche Vorverlagerung des eigentlichen Beweisverfahrens in das Verfahren um unentgeltliche Rechtspflege widerspricht geradezu dem Sinn und Zweck der unentgeltlichen Rechtspflege und vereitelt diese ( BGE 101 Ia 34 E. 2 S. 37; Urteil 5A_112/2008 vom 14. April 2008 E. 3.3; STEFAN MEICHSSNER, Das Grundrecht auf unentgeltliche Rechtspflege, 2008, S. 106 mit Hinweisen). Vorliegend hat die Vorinstanz die Aussichtslosigkeit nicht anhand von Akten und Rechtsmittelbegründung beurteilt, sondern erst nach weiteren beweismässigen Abklärungen, die thematisch der Hauptsache zuzurechnen sind. Auch insofern erweist sich die Minimalgarantie von Art. 29 Abs. 3 BV vorliegend als verletzt.</w:t>
      </w:r>
    </w:p>
    <w:p>
      <w:r>
        <w:rPr>
          <w:b/>
        </w:rPr>
        <w:t>E. 3</w:t>
      </w:r>
    </w:p>
    <w:p>
      <w:r>
        <w:t>Die Beschwerde in Zivilsachen ist gutzuheissen, ohne dass die weiteren Rügen zu prüfen sind. In Anbetracht der offensichtlichen und unstreitigen Mittellosigkeit der Beschwerdeführerin, ist ihr für das kantonale Verfahren die unentgeltliche Rechtspflege unter Ernennung ihrer Anwältin zum unentgeltlichen Rechtsbeistand zu gewähren ( Art. 107 Abs. 2 BGG ). Ungeachtet des Verfahrensausgangs sind dem Kanton Solothurn keine Kosten aufzuerlegen; indessen hat er die Beschwerdeführerin für das bundesgerichtliche Verfahren angemessen zu entschädigen ( Art. 66 Abs. 4, Art. 68 Abs. 2 BGG ).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