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5A_635/2025 vom 7. Oktober 2025</w:t>
      </w:r>
    </w:p>
    <w:p>
      <w:r>
        <w:t>Bundesgericht, 2025-10-07, FR</w:t>
      </w:r>
    </w:p>
    <w:p>
      <w:r>
        <w:rPr>
          <w:b/>
        </w:rPr>
        <w:t xml:space="preserve">Quelle: </w:t>
      </w:r>
      <w:r>
        <w:t>https://mcp.opencaselaw.ch/entscheid/bger_5A_635_2025</w:t>
      </w:r>
    </w:p>
    <w:p>
      <w:r>
        <w:t>FR: TF 5A_635/2025 du 7 octobre 2025</w:t>
      </w:r>
    </w:p>
    <w:p>
      <w:r>
        <w:t>IT: TF 5A_635/2025 del 7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Statuant le 10 juillet 2025, l'Autorité de recours en matière de protection de l'enfant et de l'adulte du Tribunal cantonal du canton du Valais a déclaré irrecevable, faute d'intérêt, le recours déposé le 1er juillet 2025 par A.________ contre la décision prise le 16 septembre 2024 par l'Autorité de protection de l'enfant et de l'adulte des districts de Martigny et de St-Maurice; elle a retenu que la personne concernée (B.________), mère de la recourante, était décédée en décembre 2024, de sorte que la curatelle instituée en sa faveur avait automatiquement pris fin à cette date en vertu de l' art. 399 al. 1 CC .</w:t>
      </w:r>
    </w:p>
    <w:p>
      <w:r>
        <w:rPr>
          <w:b/>
        </w:rPr>
        <w:t>E. 2</w:t>
      </w:r>
    </w:p>
    <w:p>
      <w:r>
        <w:t>Par écriture expédiée le 8 août 2025, A.________ forme un recours au Tribunal fédéral contre la décision précitée; sur le fond, elle conclut à l'annulation de la décision de l'APEA. Des observations n'ont pas été requises.</w:t>
      </w:r>
    </w:p>
    <w:p>
      <w:r>
        <w:rPr>
          <w:b/>
        </w:rPr>
        <w:t>E. 3</w:t>
      </w:r>
    </w:p>
    <w:p>
      <w:r>
        <w:t>La présente écriture est traitée en tant que recours en matière civile au sens de l'art. 72 al. 2 let. b ch. 6 LTF. Il n'y a pas lieu d'examiner les autres conditions de recevabilité, ce procédé étant voué à l'échec.</w:t>
      </w:r>
    </w:p>
    <w:p>
      <w:r>
        <w:rPr>
          <w:b/>
        </w:rPr>
        <w:t>E. 4</w:t>
      </w:r>
    </w:p>
    <w:p>
      <w:r>
        <w:t>Aux termes de l' art. 42 al. 2 LTF , les motifs de recours doivent exposer succinctement en quoi l'acte attaqué viole le droit; en d'autres termes, la partie recourante doit discuter, au moins de manière sommaire, les considérants de cette décision et indiquer en quoi l'autorité précédente aurait méconnu la loi (parmi d'autres: ATF 142 III 364 consid. 2.4; 140 III 86 consid. 2 et les citations). Or, la présente écriture ne satisfait pas à cette exigence: la recourante se borne à soutenir que le " décès (de sa mère) n'enlève pas l'intérêt actuel de (son recours) ", sans réfuter pour autant l'argumentation de la juridiction précédente fondée sur l' art. 399 al. 1 CC , applicable à tous les types de curatelle ( art. 393 ss CC ; parmi d'autres: FOUNTOULAKIS, in : CR CC I, 2e éd., 2024, n° 2 ad art. 399 CC et les références).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