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5A_634/2019 vom 3. September 2019</w:t>
      </w:r>
    </w:p>
    <w:p>
      <w:r>
        <w:t>Bundesgericht, 2019-09-03, FR</w:t>
      </w:r>
    </w:p>
    <w:p>
      <w:r>
        <w:rPr>
          <w:b/>
        </w:rPr>
        <w:t xml:space="preserve">Quelle: </w:t>
      </w:r>
      <w:r>
        <w:t>https://mcp.opencaselaw.ch/entscheid/bger_5A_634_2019</w:t>
      </w:r>
    </w:p>
    <w:p>
      <w:r>
        <w:t>FR: TF 5A_634/2019 du 3 septembre 2019</w:t>
      </w:r>
    </w:p>
    <w:p>
      <w:r>
        <w:t>IT: TF 5A_634/2019 del 3 settembre 2019</w:t>
      </w:r>
    </w:p>
    <w:p>
      <w:pPr>
        <w:pStyle w:val="Heading2"/>
      </w:pPr>
      <w:r>
        <w:t>Erwägungen</w:t>
      </w:r>
    </w:p>
    <w:p>
      <w:r>
        <w:rPr>
          <w:b/>
        </w:rPr>
        <w:t>E. 1</w:t>
      </w:r>
    </w:p>
    <w:p>
      <w:r>
        <w:t>Par arrêt du 23 juillet 2019, communiqué aux parties le 30 juillet 2019, la Chambre civile de la Cour de justice du canton de Genève a déclaré irrecevable - pour cause de tardiveté du recours interjeté après l'échéance du délai de dix jours ( art. 174 al. 1 LP et 322 al. 1 CPC) - le recours formé le 18 juillet par A.________ à l'encontre du jugement rendu le 27 juin 2019 par le Tribunal de première instance du canton de Genève prononçant la faillite de A.________.</w:t>
      </w:r>
    </w:p>
    <w:p>
      <w:r>
        <w:rPr>
          <w:b/>
        </w:rPr>
        <w:t>E. 2</w:t>
      </w:r>
    </w:p>
    <w:p>
      <w:r>
        <w:t>Par acte remis à la Poste suisse le 15 août 2019, A.________ exerce un recours en matière civile au Tribunal fédéral.</w:t>
      </w:r>
    </w:p>
    <w:p>
      <w:r>
        <w:t>Dans son écriture, le recourant explique s'être acquitté de certaines dettes auprès de l'Office des poursuites et requiert la réforme du prononcé de faillite en ce sens qu'un arrangement de paiement lui serait proposé. Ce faisant, le recourant ne s'en prend pas à la décision attaquée de deuxième instance relative à la tardiveté de son recours cantonal, partant à son irrecevabilité. De surcroît, le recourant ne soulève aucun grief, même de manière implicite. Il s'ensuit que le présent recours ne correspond pas aux exigences minimales de motivation des art. 42 al. 2 et 106 al. 2 LTF, doit être déclaré d'emblée irrecevable selon la procédure simplifiée de l' art. 108 al. 1 let. b LTF .</w:t>
      </w:r>
    </w:p>
    <w:p>
      <w:r>
        <w:rPr>
          <w:b/>
        </w:rPr>
        <w:t>E. 3</w:t>
      </w:r>
    </w:p>
    <w:p>
      <w:r>
        <w:t>Les frais judiciaires, arrêtés à 200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