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5A_634/2018 vom 18. Dezember 2018</w:t>
      </w:r>
    </w:p>
    <w:p>
      <w:r>
        <w:t>Bundesgericht, 2018-12-18, FR</w:t>
      </w:r>
    </w:p>
    <w:p>
      <w:r>
        <w:rPr>
          <w:b/>
        </w:rPr>
        <w:t xml:space="preserve">Quelle: </w:t>
      </w:r>
      <w:r>
        <w:t>https://mcp.opencaselaw.ch/entscheid/bger_5A_634_2018</w:t>
      </w:r>
    </w:p>
    <w:p>
      <w:r>
        <w:t>FR: TF 5A_634/2018 du 18 décembre 2018</w:t>
      </w:r>
    </w:p>
    <w:p>
      <w:r>
        <w:t>IT: TF 5A_634/2018 del 18 dicembre 2018</w:t>
      </w:r>
    </w:p>
    <w:p>
      <w:pPr>
        <w:pStyle w:val="Heading2"/>
      </w:pPr>
      <w:r>
        <w:t>Erwägungen</w:t>
      </w:r>
    </w:p>
    <w:p>
      <w:r>
        <w:rPr>
          <w:b/>
        </w:rPr>
        <w:t>E. 1</w:t>
      </w:r>
    </w:p>
    <w:p>
      <w:r>
        <w:t>Déposé en temps utile (art. 46 al. 2 et 100 al. 1 LTF) et dans la forme légale ( art. 42 al. 1 LTF ), le recours est dirigé contre une décision finale ( art. 90 LTF ; ATF 133 III 393 consid. 4) rendue sur recours par une autorité supérieure statuant en dernière instance cantonale ( art. 75 LTF ), dans une affaire matrimoniale ( art. 72 al. 1 LTF ) de nature pécuniaire, dont la valeur litigieuse atteint le seuil de 30'000 fr. (art. 51 al. 1 let. a, 51 al. 4 et 74 al. 1 let. b LTF). Le recourant, qui a succombé en instance cantonale, a qualité pour recourir ( art. 76 al. 1 let. a et b LTF ). Le recours est donc en principe recevable.</w:t>
      </w:r>
    </w:p>
    <w:p>
      <w:r>
        <w:rPr>
          <w:b/>
        </w:rPr>
        <w:t>E. 2.1</w:t>
      </w:r>
    </w:p>
    <w:p>
      <w:r>
        <w:t>Comme la décision entreprise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w:t>
      </w:r>
    </w:p>
    <w:p>
      <w:r>
        <w:t>En vertu de l' art. 99 al. 1 LTF , aucun fait nouveau ni preuve nouvelle ne peut être présenté à moins de résulter de la décision de l'autorité précédente. Dans la mesure où les</w:t>
      </w:r>
    </w:p>
    <w:p>
      <w:r>
        <w:t>nova sont admissibles, ils doivent être invoqués dans le délai de recours de l' art. 100 LTF (arrêts 5A_856/2016 du 13 juin 2018 consid. 1.7, non publié in ATF 144 III 264 , et les références; 5A_ 623/2017 du 14 mai 2018 consid. 2, non publié in ATF 144 III 298 , et les références).</w:t>
      </w:r>
    </w:p>
    <w:p>
      <w:r>
        <w:t>Les pièces complémentaires du recourant, qui ont trait au fond du litige, ont été produites par courrier du 27 septembre 2018, à savoir après l'échéance du délai de recours. En l'occurrence, elles sont d'emblée irrecevables.</w:t>
      </w:r>
    </w:p>
    <w:p>
      <w:r>
        <w:rPr>
          <w:b/>
        </w:rPr>
        <w:t>E. 3</w:t>
      </w:r>
    </w:p>
    <w:p>
      <w:r>
        <w:t>Le recourant soutient tout d'abord que la cour cantonale aurait versé dans l'arbitraire en refusant de retenir que la baisse de ses revenus constituait un élément justifiant une réduction de la pension due.</w:t>
      </w:r>
    </w:p>
    <w:p>
      <w:r>
        <w:t>La cour cantonale a écarté ce motif de réduction sur la base d'une double motivation. Dans le premier volet de son argumentation, elle a estimé que le recourant savait, au moment du prononcé de la faillite de la société D.________ Sàrl le 13 avril 2016, qu'il ne percevrait plus de revenus de celle-ci. Elle a ainsi retenu que ce fait était connu lors du prononcé de mesures protectrices du 23 juin 2016, de même que la diminution des ressources du recourant, en d'autres termes, qu'il ne s'agissait pas d'un fait nouveau. Dans une seconde argumentation, la juridiction précédente a indiqué que, même si l'on retenait ce fait nouveau, le recourant n'avait pas démontré la baisse alléguée de ses revenus.</w:t>
      </w:r>
    </w:p>
    <w:p>
      <w:r>
        <w:t>Lorsque la décision attaquée comporte plusieurs motivations indépendantes, alternatives ou subsidiaires, toutes suffisantes pour sceller le sort de la cause, la partie recourante doit, sous peine d'irrecevabilité, démontrer que chacune d'elles est contraire au droit en se conformant aux exigences de motivation requises ( ATF 142 III 364 consid. 2.4 et les références; arrêt 5A_154/2018 du 31 août 2018 consid. 3).</w:t>
      </w:r>
    </w:p>
    <w:p>
      <w:r>
        <w:t>Faute de critique concernant la première motivation de la juridiction précédente, le grief est irrecevable.</w:t>
      </w:r>
    </w:p>
    <w:p>
      <w:r>
        <w:rPr>
          <w:b/>
        </w:rPr>
        <w:t>E. 4</w:t>
      </w:r>
    </w:p>
    <w:p>
      <w:r>
        <w:t>Le recourant reproche ensuite à la juridiction précédente de n'avoir pas traité son grief relatif au concubinage de l'intimée, violant ainsi son droit d'être entendu ainsi que le principe de l'interdiction de l'arbitraire.</w:t>
      </w:r>
    </w:p>
    <w:p>
      <w:r>
        <w:rPr>
          <w:b/>
        </w:rPr>
        <w:t>E. 4.1</w:t>
      </w:r>
    </w:p>
    <w:p>
      <w:r>
        <w:t>Le droit d'être entendu garanti par l' art. 29 al. 2 Cst. implique, en particulier, le devoir pour l'autorité de motiver sa décision, afin que le destinataire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143 III 65 consid. 5.2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et les références).</w:t>
      </w:r>
    </w:p>
    <w:p>
      <w:r>
        <w:rPr>
          <w:b/>
        </w:rPr>
        <w:t>E. 4.2</w:t>
      </w:r>
    </w:p>
    <w:p>
      <w:r>
        <w:t>En l'espèce, comme exposé dans le recours, le père a, en sus de l'argument relatif à la diminution de ses revenus, également fait valoir, à l'appui de sa requête en réduction de la pension, une amélioration de la situation de son épouse, laquelle vit en concubinage. Or, la cour cantonale se contente de constater dans l'arrêt entrepris que le père formule cet argument, mais ne le discute pas plus avant. En omettant de traiter ce point, pourtant pertinent pour l'issue du litige, la cour cantonale a ainsi commis un déni de justice formel. Le grief du recourant doit donc être admis et la cause renvoyée à la cour cantonale pour examen de cet élément.</w:t>
      </w:r>
    </w:p>
    <w:p>
      <w:r>
        <w:rPr>
          <w:b/>
        </w:rPr>
        <w:t>E. 5.1</w:t>
      </w:r>
    </w:p>
    <w:p>
      <w:r>
        <w:t>Le recourant reproche enfin à la cour cantonale d'avoir arbitrairement omis de prendre en compte le fait que l'intimée vit avec les enfants dans la villa familiale " sans avoir besoin de dépenser un centime ". Or, sur le marché immobilier, celle-ci pourrait être louée pour 10'000 fr. au minimum par mois. Le logement constituant toujours un poste important du budget d'une famille, le recourant contribuerait ainsi aux charges de l'intimée par la mise à disposition de la villa. Or, la cour cantonale n'aurait arbitrairement pas tenu compte de cet élément dans le cadre de l'examen global de la situation des époux.</w:t>
      </w:r>
    </w:p>
    <w:p>
      <w:r>
        <w:rPr>
          <w:b/>
        </w:rPr>
        <w:t>E. 5.2</w:t>
      </w:r>
    </w:p>
    <w:p>
      <w:r>
        <w:t>En vertu des principes de la bonne foi et de l'épuisement des griefs ( art. 75 al. 1 LTF ), le recours n'est ouvert qu'à l'encontre des décisions rendues par une autorité cantonale de dernière instance, ce qui suppose que la partie recourante ait épuisé toutes les voies de droit quant aux griefs qu'elle entend soumettre au Tribunal fédéral, portant sur des questions que celui-ci ne revoit pas d'office ( ATF 143 III 290 consid. 1.1; arrêt 5A_659/2018 du 19 novembre 2018 consid. 4.2 et les références). Tous les moyens nouveaux sont exclus dans le recours en matière civile au sens de l' art. 98 LTF , que ceux-ci relèvent du fait ou du droit, sauf dans les cas où seule la motivation de la décision attaquée donne l'occasion de les soulever ( ATF 133 III 638 consid. 2; arrêt 5A_659/2018 précité consid. 4.2 et les références).</w:t>
      </w:r>
    </w:p>
    <w:p>
      <w:r>
        <w:rPr>
          <w:b/>
        </w:rPr>
        <w:t>E. 5.3</w:t>
      </w:r>
    </w:p>
    <w:p>
      <w:r>
        <w:t>En l'espèce, il ne ressort pas de l'arrêt cantonal ( art. 105 al. 1 LTF ; ATF 140 III 16 consid. 1.3.1) que le recourant aurait fait valoir sa critique en appel et celui-ci ne soutient pas, a fortiori ne démontre pas, que tel serait le cas. Partant, son grief est irrecevable ( art. 75 al. 1 LTF ).</w:t>
      </w:r>
    </w:p>
    <w:p>
      <w:r>
        <w:rPr>
          <w:b/>
        </w:rPr>
        <w:t>E. 6</w:t>
      </w:r>
    </w:p>
    <w:p>
      <w:r>
        <w:t>En conclusion, le recours est partiellement admis, dans la mesure où il est recevable, l'arrêt attaqué annulé et la cause renvoyée à l'autorité précédente (cf.</w:t>
      </w:r>
    </w:p>
    <w:p>
      <w:r>
        <w:t>supra consid. 4.2). Compte tenu du sort de la cause, les frais judiciaires sont répartis par moitié entre les parties et les dépens sont compensés (art. 66 al. 1 et 68 al. 1 et 2 LTF). Il appartiendra à la cour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