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633/2018 vom 3. August 2018</w:t>
      </w:r>
    </w:p>
    <w:p>
      <w:r>
        <w:t>Bundesgericht, 2018-08-03, DE</w:t>
      </w:r>
    </w:p>
    <w:p>
      <w:r>
        <w:rPr>
          <w:b/>
        </w:rPr>
        <w:t xml:space="preserve">Quelle: </w:t>
      </w:r>
      <w:r>
        <w:t>https://mcp.opencaselaw.ch/entscheid/bger_5A_633_2018</w:t>
      </w:r>
    </w:p>
    <w:p>
      <w:r>
        <w:t>FR: TF 5A 633/2018 du 3 août 2018</w:t>
      </w:r>
    </w:p>
    <w:p>
      <w:r>
        <w:t>IT: TF 5A 633/2018 del 3 agosto 2018</w:t>
      </w:r>
    </w:p>
    <w:p>
      <w:pPr>
        <w:pStyle w:val="Heading2"/>
      </w:pPr>
      <w:r>
        <w:t>Regeste</w:t>
      </w:r>
    </w:p>
    <w:p>
      <w:r>
        <w:t>Rechtshilfe betreffend Abstammungsgutachten | Familienrecht</w:t>
      </w:r>
    </w:p>
    <w:p>
      <w:pPr>
        <w:pStyle w:val="Heading2"/>
      </w:pPr>
      <w:r>
        <w:t>Erwägungen</w:t>
      </w:r>
    </w:p>
    <w:p>
      <w:r>
        <w:rPr>
          <w:b/>
        </w:rPr>
        <w:t>E. 1</w:t>
      </w:r>
    </w:p>
    <w:p>
      <w:r>
        <w:t>Gemäss der Sendungsverfolgung Track &amp; Trace wurde der obergerichtliche Beschluss am 1. Juni 2018 postalisch mit dem Vermerk "Bevollmächtigte" an B.________ übergeben. Der Beschwerdeführer behauptet, den Beschluss erst am 19. Juli 2018 erhalten zu haben. Nähere Abklärungen betreffend fristauslösende Zustellung erübrigen sich, weil auf die Beschwerde ohnehin nicht einzutreten ist.</w:t>
      </w:r>
    </w:p>
    <w:p>
      <w:r>
        <w:rPr>
          <w:b/>
        </w:rPr>
        <w:t>E. 2</w:t>
      </w:r>
    </w:p>
    <w:p>
      <w:r>
        <w:t>Die Beschwerde hat ein sachbezogenes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2.1</w:t>
      </w:r>
    </w:p>
    <w:p>
      <w:r>
        <w:t>Der Beschwerdeführer stellt kein Begehren in der Sache, sondern einzig einen prozessualen Antrag auf "aufschiebende Wirkung der Vollstreckung". Schon daran scheitert die Beschwerde.</w:t>
      </w:r>
    </w:p>
    <w:p>
      <w:r>
        <w:rPr>
          <w:b/>
        </w:rPr>
        <w:t>E. 2.2</w:t>
      </w:r>
    </w:p>
    <w:p>
      <w:r>
        <w:t>Sodann handelt es sich beim Anfechtungsobjekt um einen Zwischenentscheid, der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IV 289 E. 1.3 S. 292). Der Beschwerdeführer äussert sich hierzu nicht ansatzweise; auch aus diesem Grund kann auf die Beschwerde nicht eingetreten werden.</w:t>
      </w:r>
    </w:p>
    <w:p>
      <w:r>
        <w:rPr>
          <w:b/>
        </w:rPr>
        <w:t>E. 2.3</w:t>
      </w:r>
    </w:p>
    <w:p>
      <w:r>
        <w:t>Sodann setzt sich der Beschwerdeführer auch mit den Nichteintretenserwägungen des angefochtenen Entscheides nicht auseinander, sondern äussert sich einzig mit Stichworten zur Sache (die Sache sei verjährt, da mehr als fünf Jahre seit der Geburt des Kindes vergangen seien; es stehe Aussage gegen Aussage; zwangsmässig beschaffte Beweise seien nicht verwertbar; es liege Diebstahl von Erbgut, Nötigung, Körperverletzung, etc. vor; er habe sich lange vor der Geburt von der Mutter getrennt, da andere Männer im Spiel gewesen seien). Damit lässt sich aber nicht dartun, dass und inwiefern das Obergericht Recht verletzt haben soll, indem es auf die Eingabe des Beschwerdeführers nicht eintrat.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