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5A_633/2011 vom 10. Februar 2012</w:t>
      </w:r>
    </w:p>
    <w:p>
      <w:r>
        <w:t>Bundesgericht, 2012-02-10, FR</w:t>
      </w:r>
    </w:p>
    <w:p>
      <w:r>
        <w:rPr>
          <w:b/>
        </w:rPr>
        <w:t xml:space="preserve">Quelle: </w:t>
      </w:r>
      <w:r>
        <w:t>https://mcp.opencaselaw.ch/entscheid/bger_5A_633_2011</w:t>
      </w:r>
    </w:p>
    <w:p>
      <w:r>
        <w:t>FR: TF 5A_633/2011 du 10 février 2012</w:t>
      </w:r>
    </w:p>
    <w:p>
      <w:r>
        <w:t>IT: TF 5A_633/2011 del 10 febbraio 2012</w:t>
      </w:r>
    </w:p>
    <w:p>
      <w:pPr>
        <w:pStyle w:val="Heading2"/>
      </w:pPr>
      <w:r>
        <w:t>Erwägungen</w:t>
      </w:r>
    </w:p>
    <w:p>
      <w:r>
        <w:rPr>
          <w:b/>
        </w:rPr>
        <w:t>E. 1.1</w:t>
      </w:r>
    </w:p>
    <w:p>
      <w:r>
        <w:t>Le recours a été déposé à temps ( art. 100 al. 1 LTF ) à l'encontre d'une décision finale ( art. 90 LTF ; arrêt 5A_596/2011 du 1er décembre 2011 consid. 1.2, avec les références [destiné à la publication]) rendue dans une affaire sujette au recours en matière civile (art. 72 al. 2 let. b ch. 5 LTF) par une autorité cantonale de dernière instance ayant statué sur recours ( art. 75 LTF ); les recourants, qui ont succombé en instance cantonale, ont qualité pour recourir ( art. 76 al. 1 LTF ).</w:t>
      </w:r>
    </w:p>
    <w:p>
      <w:r>
        <w:rPr>
          <w:b/>
        </w:rPr>
        <w:t>E. 1.2</w:t>
      </w:r>
    </w:p>
    <w:p>
      <w:r>
        <w:t>Selon la jurisprudence, la présente affaire est de nature pécuniaire (arrêt 5A_596/2011 précité consid. 1.1; Affolter, in: Basler Kommentar, ZGB I, 4e éd., 2010, n° 66 ad art. 451-453 CC ). La décision entreprise n'indique pas la valeur litigieuse ( art. 112 al. 1 let . d LTF); cela ne dispense pas la partie recourante d'exposer les éléments pertinents pour permettre au Tribunal fédéral d'estimer la valeur litigieuse, étant précisé qu'une telle estimation ne lie pas la juridiction fédérale ( ATF 136 III 60 consid. 1.1.1 et les citations).</w:t>
      </w:r>
    </w:p>
    <w:p>
      <w:r>
        <w:t>Vu l'objet du procès, la valeur litigieuse ne saurait correspondre à la valeur nette du patrimoine successoral du pupille (282'069 fr.60, selon un inventaire du 27 juillet 2011). On ne peut davantage se baser sur le "retard" dans la "disponibilité toute entière du patrimoine successoral", qui se traduirait, en l'espèce, par un manque à gagner de 37'972 fr.60, somme équivalant à "330 jours à 6% pour la rentabilité d'un patrimoine évalué à 700'000 fr."; au demeurant, le taux avancé par les recourants est largement supérieur à celui - pourtant déjà généreux - admis par la jurisprudence (arrêt 5A_898/2010 du 3 juin 2011 consid. 4.3.2 et les citations [qui retient un taux de 3% sous l'angle de l'arbitraire]). Le cas échéant, il appartiendra aux intéressés d'invoquer ce poste à l'appui d'une action en responsabilité ( art. 426 ss CC , applicables par analogie à la curatelle: ATF 70 II 77 consid. 1). Quant au prétendu "retrait" d'un montant de 6'500 fr., il ne ressort pas des faits constatés par l'autorité précédente ( art. 105 al. 1 LTF ); de toute manière, il aurait été effectué "au-delà [du] décès" du pupille.</w:t>
      </w:r>
    </w:p>
    <w:p>
      <w:r>
        <w:t>En l'occurrence, la valeur litigieuse est représentée par les postes du compte final contestés en instance cantonale ( art. 51 al. 1 let. a LTF ); or, il ne résulte pas d'emblée de la décision entreprise ou d'autres éléments ressortant des pièces du dossier ( ATF 136 III 60 consid. 1.1.1, avec les références) que cette valeur atteindrait 30'000 fr. ( art. 74 al. 1 let. b LTF ). Il s'ensuit que le recours en matière civile est irrecevable sous cet angle.</w:t>
      </w:r>
    </w:p>
    <w:p>
      <w:r>
        <w:rPr>
          <w:b/>
        </w:rPr>
        <w:t>E. 1.3</w:t>
      </w:r>
    </w:p>
    <w:p>
      <w:r>
        <w:t>Au cas où la valeur litigieuse ne serait pas atteinte, les recourants "soumettent la situation au titre de la question juridique de principe pour régler la question des devoirs de l'autorité tutélaire et du curateur en cas de décès du pupille et de bénéfice d'inventaire".</w:t>
      </w:r>
    </w:p>
    <w:p>
      <w:r>
        <w:t>Une motivation aussi indigente ne respecte pas les exigences légales (art. 42 al. 2, 2ème phrase, LTF; cf. Merz, in: Basler Kommentar, BGG, 2e éd., 2011, n° 69 ad art. 42 LTF et les références). Les recourants ne démontrent aucunement que la question soulevée donnerait lieu à une "incertitude caractérisée" appelant "de manière pressante" un éclaircissement de la part du Tribunal fédéral ( ATF 135 III 397 consid. 1.2); ils n'évoquent ni controverses doctrinales, ni jurisprudences cantonales contradictoires, et le fait que ce point n'ait pas encore été tranché par le Tribunal fédéral ne suffit pas (Rudin, op. cit., n° 50 ad art. 74 LTF ). Il n'est par ailleurs pas exclu que la même problématique puisse se poser un jour avec la valeur litigieuse légalement requise (arrêts 5A_224/2008 du 3 décembre 2008 consid. 1.2.2 in fine; 5A_35/2010 du 22 avril 2010 consid. 2.2).</w:t>
      </w:r>
    </w:p>
    <w:p>
      <w:r>
        <w:rPr>
          <w:b/>
        </w:rPr>
        <w:t>E. 2</w:t>
      </w:r>
    </w:p>
    <w:p>
      <w:r>
        <w:t>Il résulte de ce qui précède que le recours en matière civile n'est pas recevable. Les recourants n'ont pas exercé à titre subsidiaire, dans la même écriture ( art. 119 LTF ), un recours constitutionnel au sens des art. 113 ss LTF . Cette circonstance n'empêche pas le Tribunal fédéral d'opérer une conversion du recours ( ATF 134 III 379 consid. 1.2), mais les conditions n'en sont pas réunies. Il est vrai que, en conclusion de leur mémoire, les intéressés reprochent à l'autorité précédente d'avoir "arbitrairement violé les règles de surveillance du curateur, de contrôle et d'approbation des comptes, ainsi que les procédures concernant la fin de la tutelle et le bénéfice d'inventaire, en particulier les articles 423, 426, 451 à 453, 554, al. 3 et 581, al. 1 CC" (p. 8 ch. 6). Toutefois, il ne résulte pas de leur argumentation qu'ils entendaient dénoncer une violation de l' art. 9 Cst. pour le cas où le recours en matière civile ne serait pas admissible (arrêt 5A_289/2011 du 14 juillet 2011 consid. 2.2 et les citations), d'autant qu'elle ne respecte pas les exigences strictes posées par l' art. 106 al. 2 LTF ( ATF 134 II 244 consid. 2.2 et les arrêts cités). Le recours est entièrement irrecevable.</w:t>
      </w:r>
    </w:p>
    <w:p>
      <w:r>
        <w:rPr>
          <w:b/>
        </w:rPr>
        <w:t>E. 3</w:t>
      </w:r>
    </w:p>
    <w:p>
      <w:r>
        <w:t>Vu l'issue de la présente procédure, les frais judiciaires incombent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